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3B" w:rsidRPr="00181A60" w:rsidRDefault="00E431ED" w:rsidP="00F87DAE">
      <w:pPr>
        <w:spacing w:after="240"/>
        <w:rPr>
          <w:rFonts w:ascii="Times New Roman" w:hAnsi="Times New Roman"/>
          <w:b/>
          <w:sz w:val="24"/>
          <w:szCs w:val="24"/>
        </w:rPr>
      </w:pPr>
      <w:r>
        <w:rPr>
          <w:rFonts w:ascii="Times New Roman" w:hAnsi="Times New Roman"/>
          <w:b/>
          <w:noProof/>
          <w:sz w:val="24"/>
          <w:szCs w:val="24"/>
          <w:lang w:eastAsia="en-US"/>
        </w:rPr>
        <w:pict>
          <v:shapetype id="_x0000_t202" coordsize="21600,21600" o:spt="202" path="m,l,21600r21600,l21600,xe">
            <v:stroke joinstyle="miter"/>
            <v:path gradientshapeok="t" o:connecttype="rect"/>
          </v:shapetype>
          <v:shape id="Text Box 4" o:spid="_x0000_s1026" type="#_x0000_t202" style="position:absolute;margin-left:1.8pt;margin-top:-419.65pt;width:459.3pt;height:113.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YJhAIAABE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" stroked="f">
            <v:textbox>
              <w:txbxContent>
                <w:p w:rsidR="00B37C38" w:rsidRPr="00010770" w:rsidRDefault="00B37C38" w:rsidP="00B34418">
                  <w:pPr>
                    <w:rPr>
                      <w:rFonts w:ascii="Times New Roman" w:hAnsi="Times New Roman"/>
                      <w:color w:val="808080"/>
                      <w:sz w:val="32"/>
                      <w:szCs w:val="32"/>
                    </w:rPr>
                  </w:pPr>
                  <w:r>
                    <w:rPr>
                      <w:rFonts w:ascii="Times New Roman" w:hAnsi="Times New Roman"/>
                      <w:color w:val="808080"/>
                      <w:sz w:val="32"/>
                      <w:szCs w:val="32"/>
                    </w:rPr>
                    <w:t>Impact Analysis: 2014-2023</w:t>
                  </w:r>
                </w:p>
              </w:txbxContent>
            </v:textbox>
            <w10:anchorlock/>
          </v:shape>
        </w:pict>
      </w:r>
      <w:r>
        <w:rPr>
          <w:rFonts w:ascii="Times New Roman" w:hAnsi="Times New Roman"/>
          <w:b/>
          <w:noProof/>
          <w:sz w:val="24"/>
          <w:szCs w:val="24"/>
          <w:lang w:eastAsia="en-US"/>
        </w:rPr>
        <w:pict>
          <v:shape id="Text Box 3" o:spid="_x0000_s1027" type="#_x0000_t202" style="position:absolute;margin-left:-.2pt;margin-top:-535.15pt;width:459.3pt;height:98.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" stroked="f">
            <v:textbox>
              <w:txbxContent>
                <w:p w:rsidR="00B37C38" w:rsidRDefault="00B37C38" w:rsidP="00B34418">
                  <w:pPr>
                    <w:pStyle w:val="NoSpacing"/>
                    <w:rPr>
                      <w:rFonts w:ascii="Times New Roman" w:hAnsi="Times New Roman"/>
                      <w:color w:val="00AFDB"/>
                      <w:sz w:val="48"/>
                      <w:szCs w:val="48"/>
                    </w:rPr>
                  </w:pPr>
                </w:p>
                <w:p w:rsidR="00B37C38" w:rsidRDefault="00B37C38" w:rsidP="00B34418">
                  <w:pPr>
                    <w:pStyle w:val="NoSpacing"/>
                    <w:rPr>
                      <w:rFonts w:ascii="Times New Roman" w:hAnsi="Times New Roman"/>
                      <w:color w:val="00AFDB"/>
                      <w:sz w:val="48"/>
                      <w:szCs w:val="48"/>
                    </w:rPr>
                  </w:pPr>
                  <w:r>
                    <w:rPr>
                      <w:rFonts w:ascii="Times New Roman" w:hAnsi="Times New Roman"/>
                      <w:color w:val="00AFDB"/>
                      <w:sz w:val="48"/>
                      <w:szCs w:val="48"/>
                    </w:rPr>
                    <w:t>State of Utah</w:t>
                  </w:r>
                </w:p>
                <w:p w:rsidR="00B37C38" w:rsidRPr="00D00F04" w:rsidRDefault="00B37C38" w:rsidP="00B34418">
                  <w:pPr>
                    <w:pStyle w:val="NoSpacing"/>
                    <w:rPr>
                      <w:rFonts w:ascii="Times New Roman" w:hAnsi="Times New Roman"/>
                      <w:color w:val="00AFDB"/>
                      <w:sz w:val="48"/>
                      <w:szCs w:val="48"/>
                    </w:rPr>
                  </w:pPr>
                  <w:r>
                    <w:rPr>
                      <w:rFonts w:ascii="Times New Roman" w:hAnsi="Times New Roman"/>
                      <w:color w:val="00AFDB"/>
                      <w:sz w:val="48"/>
                      <w:szCs w:val="48"/>
                    </w:rPr>
                    <w:t>Medicaid Expansion Assessment</w:t>
                  </w:r>
                </w:p>
                <w:p w:rsidR="00B37C38" w:rsidRDefault="00B37C38" w:rsidP="00B34418">
                  <w:pPr>
                    <w:pStyle w:val="NoSpacing"/>
                    <w:rPr>
                      <w:rFonts w:ascii="Times New Roman" w:hAnsi="Times New Roman"/>
                      <w:color w:val="808080"/>
                      <w:sz w:val="32"/>
                      <w:szCs w:val="32"/>
                    </w:rPr>
                  </w:pPr>
                </w:p>
                <w:p w:rsidR="00B37C38" w:rsidRPr="00010770" w:rsidRDefault="00B37C38" w:rsidP="00B34418">
                  <w:pPr>
                    <w:pStyle w:val="NoSpacing"/>
                    <w:rPr>
                      <w:rFonts w:ascii="Times New Roman" w:hAnsi="Times New Roman"/>
                      <w:color w:val="808080"/>
                      <w:sz w:val="32"/>
                      <w:szCs w:val="32"/>
                    </w:rPr>
                  </w:pPr>
                  <w:r>
                    <w:rPr>
                      <w:rFonts w:ascii="Times New Roman" w:hAnsi="Times New Roman"/>
                      <w:color w:val="808080"/>
                      <w:sz w:val="32"/>
                      <w:szCs w:val="32"/>
                    </w:rPr>
                    <w:t>Strategic Planning Process</w:t>
                  </w:r>
                </w:p>
              </w:txbxContent>
            </v:textbox>
            <w10:anchorlock/>
          </v:shape>
        </w:pict>
      </w:r>
      <w:r w:rsidR="00A00D9A" w:rsidRPr="00181A60">
        <w:rPr>
          <w:rFonts w:ascii="Times New Roman" w:hAnsi="Times New Roman"/>
          <w:b/>
          <w:noProof/>
          <w:sz w:val="24"/>
          <w:szCs w:val="24"/>
          <w:lang w:eastAsia="en-US"/>
        </w:rPr>
        <w:drawing>
          <wp:anchor distT="0" distB="0" distL="114300" distR="114300" simplePos="0" relativeHeight="251655680" behindDoc="0" locked="1" layoutInCell="1" allowOverlap="1">
            <wp:simplePos x="0" y="0"/>
            <wp:positionH relativeFrom="margin">
              <wp:posOffset>-542925</wp:posOffset>
            </wp:positionH>
            <wp:positionV relativeFrom="paragraph">
              <wp:posOffset>-1040765</wp:posOffset>
            </wp:positionV>
            <wp:extent cx="7772400" cy="10067925"/>
            <wp:effectExtent l="19050" t="0" r="0" b="0"/>
            <wp:wrapSquare wrapText="bothSides"/>
            <wp:docPr id="3" name="Picture 0" descr="PCG_HLT_small_cover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CG_HLT_small_cover_F.jpg"/>
                    <pic:cNvPicPr>
                      <a:picLocks noChangeAspect="1" noChangeArrowheads="1"/>
                    </pic:cNvPicPr>
                  </pic:nvPicPr>
                  <pic:blipFill>
                    <a:blip r:embed="rId8" cstate="print"/>
                    <a:srcRect/>
                    <a:stretch>
                      <a:fillRect/>
                    </a:stretch>
                  </pic:blipFill>
                  <pic:spPr bwMode="auto">
                    <a:xfrm>
                      <a:off x="0" y="0"/>
                      <a:ext cx="7772400" cy="10067925"/>
                    </a:xfrm>
                    <a:prstGeom prst="rect">
                      <a:avLst/>
                    </a:prstGeom>
                    <a:noFill/>
                    <a:ln w="9525">
                      <a:noFill/>
                      <a:miter lim="800000"/>
                      <a:headEnd/>
                      <a:tailEnd/>
                    </a:ln>
                  </pic:spPr>
                </pic:pic>
              </a:graphicData>
            </a:graphic>
          </wp:anchor>
        </w:drawing>
      </w:r>
      <w:r w:rsidR="00A50A0D" w:rsidRPr="00181A60">
        <w:rPr>
          <w:rFonts w:ascii="Times New Roman" w:hAnsi="Times New Roman"/>
          <w:b/>
          <w:sz w:val="24"/>
          <w:szCs w:val="24"/>
        </w:rPr>
        <w:br w:type="page"/>
      </w:r>
    </w:p>
    <w:p w:rsidR="0034163B" w:rsidRPr="00181A60" w:rsidRDefault="00A50A0D" w:rsidP="00F87DAE">
      <w:pPr>
        <w:spacing w:after="240"/>
        <w:rPr>
          <w:rFonts w:ascii="Times New Roman" w:hAnsi="Times New Roman"/>
          <w:sz w:val="24"/>
          <w:szCs w:val="24"/>
        </w:rPr>
      </w:pPr>
      <w:r w:rsidRPr="00181A60">
        <w:rPr>
          <w:rFonts w:ascii="Times New Roman" w:hAnsi="Times New Roman"/>
          <w:b/>
          <w:sz w:val="24"/>
          <w:szCs w:val="24"/>
        </w:rPr>
        <w:lastRenderedPageBreak/>
        <w:t>Table of Contents</w:t>
      </w:r>
    </w:p>
    <w:p w:rsidR="00BD45FC" w:rsidRDefault="00BD45FC" w:rsidP="00EF5DF9">
      <w:pPr>
        <w:numPr>
          <w:ilvl w:val="0"/>
          <w:numId w:val="1"/>
        </w:numPr>
        <w:spacing w:after="120"/>
        <w:ind w:left="0" w:firstLine="0"/>
        <w:rPr>
          <w:rFonts w:ascii="Times New Roman" w:hAnsi="Times New Roman"/>
          <w:sz w:val="24"/>
          <w:szCs w:val="24"/>
        </w:rPr>
      </w:pPr>
      <w:r w:rsidRPr="00181A60">
        <w:rPr>
          <w:rFonts w:ascii="Times New Roman" w:hAnsi="Times New Roman"/>
          <w:sz w:val="24"/>
          <w:szCs w:val="24"/>
        </w:rPr>
        <w:t xml:space="preserve">Executive Summary </w:t>
      </w:r>
    </w:p>
    <w:p w:rsidR="00262456" w:rsidRPr="00181A60" w:rsidRDefault="00262456" w:rsidP="00EF5DF9">
      <w:pPr>
        <w:numPr>
          <w:ilvl w:val="0"/>
          <w:numId w:val="1"/>
        </w:numPr>
        <w:spacing w:after="120"/>
        <w:ind w:left="0" w:firstLine="0"/>
        <w:rPr>
          <w:rFonts w:ascii="Times New Roman" w:hAnsi="Times New Roman"/>
          <w:sz w:val="24"/>
          <w:szCs w:val="24"/>
        </w:rPr>
      </w:pPr>
      <w:r>
        <w:rPr>
          <w:rFonts w:ascii="Times New Roman" w:hAnsi="Times New Roman"/>
          <w:sz w:val="24"/>
          <w:szCs w:val="24"/>
        </w:rPr>
        <w:t>Five Modeled Scenarios</w:t>
      </w:r>
      <w:r w:rsidR="00A451EC">
        <w:rPr>
          <w:rFonts w:ascii="Times New Roman" w:hAnsi="Times New Roman"/>
          <w:sz w:val="24"/>
          <w:szCs w:val="24"/>
        </w:rPr>
        <w:t xml:space="preserve"> Summary</w:t>
      </w:r>
    </w:p>
    <w:p w:rsidR="00C80065" w:rsidRDefault="00C80065" w:rsidP="00EF5DF9">
      <w:pPr>
        <w:numPr>
          <w:ilvl w:val="0"/>
          <w:numId w:val="1"/>
        </w:numPr>
        <w:spacing w:after="120"/>
        <w:ind w:left="0" w:firstLine="0"/>
        <w:rPr>
          <w:rFonts w:ascii="Times New Roman" w:hAnsi="Times New Roman"/>
          <w:sz w:val="24"/>
          <w:szCs w:val="24"/>
        </w:rPr>
      </w:pPr>
      <w:r>
        <w:rPr>
          <w:rFonts w:ascii="Times New Roman" w:hAnsi="Times New Roman"/>
          <w:sz w:val="24"/>
          <w:szCs w:val="24"/>
        </w:rPr>
        <w:t>PCG Medicaid Expansion Simulation Model Results</w:t>
      </w:r>
    </w:p>
    <w:p w:rsidR="001B3A16" w:rsidRDefault="001B3A16" w:rsidP="00EF5DF9">
      <w:pPr>
        <w:numPr>
          <w:ilvl w:val="1"/>
          <w:numId w:val="1"/>
        </w:numPr>
        <w:spacing w:after="120"/>
        <w:rPr>
          <w:rFonts w:ascii="Times New Roman" w:hAnsi="Times New Roman"/>
          <w:sz w:val="24"/>
          <w:szCs w:val="24"/>
        </w:rPr>
      </w:pPr>
      <w:r>
        <w:rPr>
          <w:rFonts w:ascii="Times New Roman" w:hAnsi="Times New Roman"/>
          <w:sz w:val="24"/>
          <w:szCs w:val="24"/>
        </w:rPr>
        <w:t xml:space="preserve">PCG-MESM Assumptions and Modeling </w:t>
      </w:r>
    </w:p>
    <w:p w:rsidR="00C93256" w:rsidRDefault="00C80065" w:rsidP="00EF5DF9">
      <w:pPr>
        <w:numPr>
          <w:ilvl w:val="1"/>
          <w:numId w:val="1"/>
        </w:numPr>
        <w:spacing w:after="120"/>
        <w:rPr>
          <w:rFonts w:ascii="Times New Roman" w:hAnsi="Times New Roman"/>
          <w:sz w:val="24"/>
          <w:szCs w:val="24"/>
        </w:rPr>
      </w:pPr>
      <w:r>
        <w:rPr>
          <w:rFonts w:ascii="Times New Roman" w:hAnsi="Times New Roman"/>
          <w:sz w:val="24"/>
          <w:szCs w:val="24"/>
        </w:rPr>
        <w:t>Mandatory Expansion</w:t>
      </w:r>
    </w:p>
    <w:p w:rsidR="00C93256" w:rsidRDefault="00C80065" w:rsidP="00EF5DF9">
      <w:pPr>
        <w:numPr>
          <w:ilvl w:val="1"/>
          <w:numId w:val="1"/>
        </w:numPr>
        <w:spacing w:after="120"/>
        <w:rPr>
          <w:rFonts w:ascii="Times New Roman" w:hAnsi="Times New Roman"/>
          <w:sz w:val="24"/>
          <w:szCs w:val="24"/>
        </w:rPr>
      </w:pPr>
      <w:r>
        <w:rPr>
          <w:rFonts w:ascii="Times New Roman" w:hAnsi="Times New Roman"/>
          <w:sz w:val="24"/>
          <w:szCs w:val="24"/>
        </w:rPr>
        <w:t>Optional Expansion</w:t>
      </w:r>
    </w:p>
    <w:p w:rsidR="00C80065" w:rsidRDefault="00C80065" w:rsidP="00EF5DF9">
      <w:pPr>
        <w:numPr>
          <w:ilvl w:val="1"/>
          <w:numId w:val="1"/>
        </w:numPr>
        <w:spacing w:after="120"/>
        <w:rPr>
          <w:rFonts w:ascii="Times New Roman" w:hAnsi="Times New Roman"/>
          <w:sz w:val="24"/>
          <w:szCs w:val="24"/>
        </w:rPr>
      </w:pPr>
      <w:r>
        <w:rPr>
          <w:rFonts w:ascii="Times New Roman" w:hAnsi="Times New Roman"/>
          <w:sz w:val="24"/>
          <w:szCs w:val="24"/>
        </w:rPr>
        <w:t>Woodwork</w:t>
      </w:r>
      <w:r w:rsidR="007C2956">
        <w:rPr>
          <w:rFonts w:ascii="Times New Roman" w:hAnsi="Times New Roman"/>
          <w:sz w:val="24"/>
          <w:szCs w:val="24"/>
        </w:rPr>
        <w:t xml:space="preserve"> and Mandatory Expansion</w:t>
      </w:r>
    </w:p>
    <w:p w:rsidR="00C80065" w:rsidRDefault="00C80065" w:rsidP="00EF5DF9">
      <w:pPr>
        <w:numPr>
          <w:ilvl w:val="1"/>
          <w:numId w:val="1"/>
        </w:numPr>
        <w:spacing w:after="120"/>
        <w:rPr>
          <w:rFonts w:ascii="Times New Roman" w:hAnsi="Times New Roman"/>
          <w:sz w:val="24"/>
          <w:szCs w:val="24"/>
        </w:rPr>
      </w:pPr>
      <w:r>
        <w:rPr>
          <w:rFonts w:ascii="Times New Roman" w:hAnsi="Times New Roman"/>
          <w:sz w:val="24"/>
          <w:szCs w:val="24"/>
        </w:rPr>
        <w:t>Crowd-Out</w:t>
      </w:r>
    </w:p>
    <w:p w:rsidR="00C80065" w:rsidRDefault="00C80065" w:rsidP="00EF5DF9">
      <w:pPr>
        <w:numPr>
          <w:ilvl w:val="1"/>
          <w:numId w:val="1"/>
        </w:numPr>
        <w:spacing w:after="120"/>
        <w:rPr>
          <w:rFonts w:ascii="Times New Roman" w:hAnsi="Times New Roman"/>
          <w:sz w:val="24"/>
          <w:szCs w:val="24"/>
        </w:rPr>
      </w:pPr>
      <w:r>
        <w:rPr>
          <w:rFonts w:ascii="Times New Roman" w:hAnsi="Times New Roman"/>
          <w:sz w:val="24"/>
          <w:szCs w:val="24"/>
        </w:rPr>
        <w:t>Opportunity Costs</w:t>
      </w:r>
    </w:p>
    <w:p w:rsidR="00C80065" w:rsidRDefault="00C80065" w:rsidP="00EF5DF9">
      <w:pPr>
        <w:numPr>
          <w:ilvl w:val="1"/>
          <w:numId w:val="1"/>
        </w:numPr>
        <w:spacing w:after="120"/>
        <w:rPr>
          <w:rFonts w:ascii="Times New Roman" w:hAnsi="Times New Roman"/>
          <w:sz w:val="24"/>
          <w:szCs w:val="24"/>
        </w:rPr>
      </w:pPr>
      <w:r>
        <w:rPr>
          <w:rFonts w:ascii="Times New Roman" w:hAnsi="Times New Roman"/>
          <w:sz w:val="24"/>
          <w:szCs w:val="24"/>
        </w:rPr>
        <w:t>Administrative Costs and Savings</w:t>
      </w:r>
    </w:p>
    <w:p w:rsidR="00C80065" w:rsidRDefault="00C80065" w:rsidP="00EF5DF9">
      <w:pPr>
        <w:numPr>
          <w:ilvl w:val="1"/>
          <w:numId w:val="1"/>
        </w:numPr>
        <w:spacing w:after="120"/>
        <w:rPr>
          <w:rFonts w:ascii="Times New Roman" w:hAnsi="Times New Roman"/>
          <w:sz w:val="24"/>
          <w:szCs w:val="24"/>
        </w:rPr>
      </w:pPr>
      <w:r>
        <w:rPr>
          <w:rFonts w:ascii="Times New Roman" w:hAnsi="Times New Roman"/>
          <w:sz w:val="24"/>
          <w:szCs w:val="24"/>
        </w:rPr>
        <w:t>Uncompensated Care Savings</w:t>
      </w:r>
    </w:p>
    <w:p w:rsidR="00C80065" w:rsidRPr="00181A60" w:rsidRDefault="00C80065" w:rsidP="00EF5DF9">
      <w:pPr>
        <w:numPr>
          <w:ilvl w:val="1"/>
          <w:numId w:val="1"/>
        </w:numPr>
        <w:spacing w:after="120"/>
        <w:rPr>
          <w:rFonts w:ascii="Times New Roman" w:hAnsi="Times New Roman"/>
          <w:sz w:val="24"/>
          <w:szCs w:val="24"/>
        </w:rPr>
      </w:pPr>
      <w:r>
        <w:rPr>
          <w:rFonts w:ascii="Times New Roman" w:hAnsi="Times New Roman"/>
          <w:sz w:val="24"/>
          <w:szCs w:val="24"/>
        </w:rPr>
        <w:t>Public Assistance Savings</w:t>
      </w:r>
    </w:p>
    <w:p w:rsidR="00C93256" w:rsidRPr="00181A60" w:rsidRDefault="00C80065" w:rsidP="00EF5DF9">
      <w:pPr>
        <w:numPr>
          <w:ilvl w:val="1"/>
          <w:numId w:val="1"/>
        </w:numPr>
        <w:spacing w:after="120"/>
        <w:rPr>
          <w:rFonts w:ascii="Times New Roman" w:hAnsi="Times New Roman"/>
          <w:sz w:val="24"/>
          <w:szCs w:val="24"/>
        </w:rPr>
      </w:pPr>
      <w:r>
        <w:rPr>
          <w:rFonts w:ascii="Times New Roman" w:hAnsi="Times New Roman"/>
          <w:sz w:val="24"/>
          <w:szCs w:val="24"/>
        </w:rPr>
        <w:t>Medically Needy Savings</w:t>
      </w:r>
    </w:p>
    <w:p w:rsidR="00C93256" w:rsidRDefault="00C80065" w:rsidP="00EF5DF9">
      <w:pPr>
        <w:numPr>
          <w:ilvl w:val="1"/>
          <w:numId w:val="1"/>
        </w:numPr>
        <w:spacing w:after="120"/>
        <w:rPr>
          <w:rFonts w:ascii="Times New Roman" w:hAnsi="Times New Roman"/>
          <w:sz w:val="24"/>
          <w:szCs w:val="24"/>
        </w:rPr>
      </w:pPr>
      <w:r>
        <w:rPr>
          <w:rFonts w:ascii="Times New Roman" w:hAnsi="Times New Roman"/>
          <w:sz w:val="24"/>
          <w:szCs w:val="24"/>
        </w:rPr>
        <w:t>Estimated Revenues</w:t>
      </w:r>
    </w:p>
    <w:p w:rsidR="00C80065" w:rsidRDefault="00C80065" w:rsidP="00EF5DF9">
      <w:pPr>
        <w:numPr>
          <w:ilvl w:val="0"/>
          <w:numId w:val="1"/>
        </w:numPr>
        <w:spacing w:after="120"/>
        <w:ind w:left="0" w:firstLine="0"/>
        <w:rPr>
          <w:rFonts w:ascii="Times New Roman" w:hAnsi="Times New Roman"/>
          <w:sz w:val="24"/>
          <w:szCs w:val="24"/>
        </w:rPr>
      </w:pPr>
      <w:r>
        <w:rPr>
          <w:rFonts w:ascii="Times New Roman" w:hAnsi="Times New Roman"/>
          <w:sz w:val="24"/>
          <w:szCs w:val="24"/>
        </w:rPr>
        <w:t>Appendix</w:t>
      </w:r>
      <w:r w:rsidR="00DA38F5">
        <w:rPr>
          <w:rFonts w:ascii="Times New Roman" w:hAnsi="Times New Roman"/>
          <w:sz w:val="24"/>
          <w:szCs w:val="24"/>
        </w:rPr>
        <w:t>es</w:t>
      </w:r>
    </w:p>
    <w:p w:rsidR="00DA38F5" w:rsidRDefault="00DA38F5" w:rsidP="00EF5DF9">
      <w:pPr>
        <w:numPr>
          <w:ilvl w:val="1"/>
          <w:numId w:val="1"/>
        </w:numPr>
        <w:spacing w:after="120"/>
        <w:rPr>
          <w:rFonts w:ascii="Times New Roman" w:hAnsi="Times New Roman"/>
          <w:sz w:val="24"/>
          <w:szCs w:val="24"/>
        </w:rPr>
      </w:pPr>
      <w:r>
        <w:rPr>
          <w:rFonts w:ascii="Times New Roman" w:hAnsi="Times New Roman"/>
          <w:sz w:val="24"/>
          <w:szCs w:val="24"/>
        </w:rPr>
        <w:t>Appendix I</w:t>
      </w:r>
      <w:r w:rsidR="00A30F5D">
        <w:rPr>
          <w:rFonts w:ascii="Times New Roman" w:hAnsi="Times New Roman"/>
          <w:sz w:val="24"/>
          <w:szCs w:val="24"/>
        </w:rPr>
        <w:t>: Public reports participation and take-up rate assumption summary chart</w:t>
      </w:r>
    </w:p>
    <w:p w:rsidR="00DA38F5" w:rsidRDefault="00DA38F5" w:rsidP="00EF5DF9">
      <w:pPr>
        <w:numPr>
          <w:ilvl w:val="1"/>
          <w:numId w:val="1"/>
        </w:numPr>
        <w:spacing w:after="120"/>
        <w:rPr>
          <w:rFonts w:ascii="Times New Roman" w:hAnsi="Times New Roman"/>
          <w:sz w:val="24"/>
          <w:szCs w:val="24"/>
        </w:rPr>
      </w:pPr>
      <w:r>
        <w:rPr>
          <w:rFonts w:ascii="Times New Roman" w:hAnsi="Times New Roman"/>
          <w:sz w:val="24"/>
          <w:szCs w:val="24"/>
        </w:rPr>
        <w:t>Appendix II</w:t>
      </w:r>
      <w:r w:rsidR="00A30F5D">
        <w:rPr>
          <w:rFonts w:ascii="Times New Roman" w:hAnsi="Times New Roman"/>
          <w:sz w:val="24"/>
          <w:szCs w:val="24"/>
        </w:rPr>
        <w:t>: MAGI explanation</w:t>
      </w:r>
    </w:p>
    <w:p w:rsidR="00DA38F5" w:rsidRDefault="00DA38F5" w:rsidP="00EF5DF9">
      <w:pPr>
        <w:numPr>
          <w:ilvl w:val="1"/>
          <w:numId w:val="1"/>
        </w:numPr>
        <w:spacing w:after="120"/>
        <w:rPr>
          <w:rFonts w:ascii="Times New Roman" w:hAnsi="Times New Roman"/>
          <w:sz w:val="24"/>
          <w:szCs w:val="24"/>
        </w:rPr>
      </w:pPr>
      <w:r>
        <w:rPr>
          <w:rFonts w:ascii="Times New Roman" w:hAnsi="Times New Roman"/>
          <w:sz w:val="24"/>
          <w:szCs w:val="24"/>
        </w:rPr>
        <w:t>Appendix III</w:t>
      </w:r>
      <w:r w:rsidR="00594C7A">
        <w:rPr>
          <w:rFonts w:ascii="Times New Roman" w:hAnsi="Times New Roman"/>
          <w:sz w:val="24"/>
          <w:szCs w:val="24"/>
        </w:rPr>
        <w:t>: Medicaid and Essential Health Benefit comparison</w:t>
      </w:r>
    </w:p>
    <w:p w:rsidR="00EF5DF9" w:rsidRDefault="00EF5DF9" w:rsidP="00EF5DF9">
      <w:pPr>
        <w:numPr>
          <w:ilvl w:val="1"/>
          <w:numId w:val="1"/>
        </w:numPr>
        <w:spacing w:after="120"/>
        <w:rPr>
          <w:rFonts w:ascii="Times New Roman" w:hAnsi="Times New Roman"/>
          <w:sz w:val="24"/>
          <w:szCs w:val="24"/>
        </w:rPr>
      </w:pPr>
      <w:r>
        <w:rPr>
          <w:rFonts w:ascii="Times New Roman" w:hAnsi="Times New Roman"/>
          <w:sz w:val="24"/>
          <w:szCs w:val="24"/>
        </w:rPr>
        <w:t>Appendix IV: Utah FMAP Historical Chart</w:t>
      </w:r>
    </w:p>
    <w:p w:rsidR="00AB7789" w:rsidRDefault="00AB7789" w:rsidP="00EF5DF9">
      <w:pPr>
        <w:numPr>
          <w:ilvl w:val="1"/>
          <w:numId w:val="1"/>
        </w:numPr>
        <w:spacing w:after="120"/>
        <w:rPr>
          <w:rFonts w:ascii="Times New Roman" w:hAnsi="Times New Roman"/>
          <w:sz w:val="24"/>
          <w:szCs w:val="24"/>
        </w:rPr>
      </w:pPr>
      <w:r>
        <w:rPr>
          <w:rFonts w:ascii="Times New Roman" w:hAnsi="Times New Roman"/>
          <w:sz w:val="24"/>
          <w:szCs w:val="24"/>
        </w:rPr>
        <w:t>Appendix V: Per Member Per Month Figures</w:t>
      </w:r>
    </w:p>
    <w:p w:rsidR="00D80E66" w:rsidRDefault="00D80E66" w:rsidP="00EF5DF9">
      <w:pPr>
        <w:numPr>
          <w:ilvl w:val="1"/>
          <w:numId w:val="1"/>
        </w:numPr>
        <w:spacing w:after="120"/>
        <w:rPr>
          <w:rFonts w:ascii="Times New Roman" w:hAnsi="Times New Roman"/>
          <w:sz w:val="24"/>
          <w:szCs w:val="24"/>
        </w:rPr>
      </w:pPr>
      <w:r>
        <w:rPr>
          <w:rFonts w:ascii="Times New Roman" w:hAnsi="Times New Roman"/>
          <w:sz w:val="24"/>
          <w:szCs w:val="24"/>
        </w:rPr>
        <w:t>Appendix VI: Other States Expansion Study Comparison</w:t>
      </w:r>
    </w:p>
    <w:p w:rsidR="002B4955" w:rsidRDefault="002B4955" w:rsidP="00EF5DF9">
      <w:pPr>
        <w:numPr>
          <w:ilvl w:val="1"/>
          <w:numId w:val="1"/>
        </w:numPr>
        <w:spacing w:after="120"/>
        <w:rPr>
          <w:rFonts w:ascii="Times New Roman" w:hAnsi="Times New Roman"/>
          <w:sz w:val="24"/>
          <w:szCs w:val="24"/>
        </w:rPr>
      </w:pPr>
      <w:r>
        <w:rPr>
          <w:rFonts w:ascii="Times New Roman" w:hAnsi="Times New Roman"/>
          <w:sz w:val="24"/>
          <w:szCs w:val="24"/>
        </w:rPr>
        <w:t>Ap</w:t>
      </w:r>
      <w:r w:rsidR="0045358F">
        <w:rPr>
          <w:rFonts w:ascii="Times New Roman" w:hAnsi="Times New Roman"/>
          <w:sz w:val="24"/>
          <w:szCs w:val="24"/>
        </w:rPr>
        <w:t>pendix VII: Tax Revenue Allocation</w:t>
      </w:r>
    </w:p>
    <w:p w:rsidR="00B62854" w:rsidRDefault="00B62854" w:rsidP="00EF5DF9">
      <w:pPr>
        <w:numPr>
          <w:ilvl w:val="1"/>
          <w:numId w:val="1"/>
        </w:numPr>
        <w:spacing w:after="120"/>
        <w:rPr>
          <w:rFonts w:ascii="Times New Roman" w:hAnsi="Times New Roman"/>
          <w:sz w:val="24"/>
          <w:szCs w:val="24"/>
        </w:rPr>
      </w:pPr>
      <w:r>
        <w:rPr>
          <w:rFonts w:ascii="Times New Roman" w:hAnsi="Times New Roman"/>
          <w:sz w:val="24"/>
          <w:szCs w:val="24"/>
        </w:rPr>
        <w:t>Appendix VII</w:t>
      </w:r>
      <w:r w:rsidR="00541C62">
        <w:rPr>
          <w:rFonts w:ascii="Times New Roman" w:hAnsi="Times New Roman"/>
          <w:sz w:val="24"/>
          <w:szCs w:val="24"/>
        </w:rPr>
        <w:t>I</w:t>
      </w:r>
      <w:r>
        <w:rPr>
          <w:rFonts w:ascii="Times New Roman" w:hAnsi="Times New Roman"/>
          <w:sz w:val="24"/>
          <w:szCs w:val="24"/>
        </w:rPr>
        <w:t>: Detailed Tax Information</w:t>
      </w:r>
    </w:p>
    <w:p w:rsidR="00B62854" w:rsidRPr="00181A60" w:rsidRDefault="00B62854" w:rsidP="00B62854">
      <w:pPr>
        <w:spacing w:after="120"/>
        <w:ind w:left="1440"/>
        <w:rPr>
          <w:rFonts w:ascii="Times New Roman" w:hAnsi="Times New Roman"/>
          <w:sz w:val="24"/>
          <w:szCs w:val="24"/>
        </w:rPr>
      </w:pPr>
    </w:p>
    <w:p w:rsidR="0034163B" w:rsidRPr="00181A60" w:rsidRDefault="0034163B" w:rsidP="00F87DAE">
      <w:pPr>
        <w:spacing w:after="240"/>
        <w:rPr>
          <w:rFonts w:ascii="Times New Roman" w:hAnsi="Times New Roman"/>
          <w:sz w:val="24"/>
          <w:szCs w:val="24"/>
        </w:rPr>
      </w:pPr>
    </w:p>
    <w:p w:rsidR="0034163B" w:rsidRPr="00181A60" w:rsidRDefault="00C80065" w:rsidP="00F87DAE">
      <w:pPr>
        <w:spacing w:after="240"/>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Executive Summary</w:t>
      </w:r>
    </w:p>
    <w:p w:rsidR="00A06956" w:rsidRDefault="00A06956" w:rsidP="00A06956">
      <w:pPr>
        <w:spacing w:after="0"/>
        <w:rPr>
          <w:rFonts w:ascii="Times New Roman" w:hAnsi="Times New Roman"/>
          <w:sz w:val="24"/>
          <w:szCs w:val="24"/>
        </w:rPr>
      </w:pPr>
      <w:r>
        <w:rPr>
          <w:rFonts w:ascii="Times New Roman" w:hAnsi="Times New Roman"/>
          <w:sz w:val="24"/>
          <w:szCs w:val="24"/>
        </w:rPr>
        <w:t>In</w:t>
      </w:r>
      <w:r w:rsidRPr="00A06956">
        <w:rPr>
          <w:rFonts w:ascii="Times New Roman" w:hAnsi="Times New Roman"/>
          <w:sz w:val="24"/>
          <w:szCs w:val="24"/>
        </w:rPr>
        <w:t xml:space="preserve"> June </w:t>
      </w:r>
      <w:r>
        <w:rPr>
          <w:rFonts w:ascii="Times New Roman" w:hAnsi="Times New Roman"/>
          <w:sz w:val="24"/>
          <w:szCs w:val="24"/>
        </w:rPr>
        <w:t xml:space="preserve">of </w:t>
      </w:r>
      <w:r w:rsidRPr="00A06956">
        <w:rPr>
          <w:rFonts w:ascii="Times New Roman" w:hAnsi="Times New Roman"/>
          <w:sz w:val="24"/>
          <w:szCs w:val="24"/>
        </w:rPr>
        <w:t xml:space="preserve">2012 </w:t>
      </w:r>
      <w:r>
        <w:rPr>
          <w:rFonts w:ascii="Times New Roman" w:hAnsi="Times New Roman"/>
          <w:sz w:val="24"/>
          <w:szCs w:val="24"/>
        </w:rPr>
        <w:t xml:space="preserve">the </w:t>
      </w:r>
      <w:r w:rsidRPr="00A06956">
        <w:rPr>
          <w:rFonts w:ascii="Times New Roman" w:hAnsi="Times New Roman"/>
          <w:sz w:val="24"/>
          <w:szCs w:val="24"/>
        </w:rPr>
        <w:t>United States Supreme Court rul</w:t>
      </w:r>
      <w:r>
        <w:rPr>
          <w:rFonts w:ascii="Times New Roman" w:hAnsi="Times New Roman"/>
          <w:sz w:val="24"/>
          <w:szCs w:val="24"/>
        </w:rPr>
        <w:t>ed</w:t>
      </w:r>
      <w:r w:rsidRPr="00A06956">
        <w:rPr>
          <w:rFonts w:ascii="Times New Roman" w:hAnsi="Times New Roman"/>
          <w:sz w:val="24"/>
          <w:szCs w:val="24"/>
        </w:rPr>
        <w:t xml:space="preserve"> </w:t>
      </w:r>
      <w:r w:rsidR="00F72FFF">
        <w:rPr>
          <w:rFonts w:ascii="Times New Roman" w:hAnsi="Times New Roman"/>
          <w:sz w:val="24"/>
          <w:szCs w:val="24"/>
        </w:rPr>
        <w:t xml:space="preserve">that the </w:t>
      </w:r>
      <w:r>
        <w:rPr>
          <w:rFonts w:ascii="Times New Roman" w:hAnsi="Times New Roman"/>
          <w:sz w:val="24"/>
          <w:szCs w:val="24"/>
        </w:rPr>
        <w:t xml:space="preserve">Affordable Care Act (ACA) </w:t>
      </w:r>
      <w:r w:rsidR="004270CB">
        <w:rPr>
          <w:rFonts w:ascii="Times New Roman" w:hAnsi="Times New Roman"/>
          <w:sz w:val="24"/>
          <w:szCs w:val="24"/>
        </w:rPr>
        <w:t xml:space="preserve">requirement </w:t>
      </w:r>
      <w:r>
        <w:rPr>
          <w:rFonts w:ascii="Times New Roman" w:hAnsi="Times New Roman"/>
          <w:sz w:val="24"/>
          <w:szCs w:val="24"/>
        </w:rPr>
        <w:t>that</w:t>
      </w:r>
      <w:r w:rsidRPr="00A06956">
        <w:rPr>
          <w:rFonts w:ascii="Times New Roman" w:hAnsi="Times New Roman"/>
          <w:sz w:val="24"/>
          <w:szCs w:val="24"/>
        </w:rPr>
        <w:t xml:space="preserve"> states expand their Medicaid programs </w:t>
      </w:r>
      <w:r w:rsidR="008736C0">
        <w:rPr>
          <w:rFonts w:ascii="Times New Roman" w:hAnsi="Times New Roman"/>
          <w:sz w:val="24"/>
          <w:szCs w:val="24"/>
        </w:rPr>
        <w:t xml:space="preserve">to an entirely new population group </w:t>
      </w:r>
      <w:r>
        <w:rPr>
          <w:rFonts w:ascii="Times New Roman" w:hAnsi="Times New Roman"/>
          <w:sz w:val="24"/>
          <w:szCs w:val="24"/>
        </w:rPr>
        <w:t xml:space="preserve">was </w:t>
      </w:r>
      <w:r w:rsidRPr="00A06956">
        <w:rPr>
          <w:rFonts w:ascii="Times New Roman" w:hAnsi="Times New Roman"/>
          <w:sz w:val="24"/>
          <w:szCs w:val="24"/>
        </w:rPr>
        <w:t>unconstitutional</w:t>
      </w:r>
      <w:r>
        <w:rPr>
          <w:rFonts w:ascii="Times New Roman" w:hAnsi="Times New Roman"/>
          <w:sz w:val="24"/>
          <w:szCs w:val="24"/>
        </w:rPr>
        <w:t xml:space="preserve">. </w:t>
      </w:r>
      <w:r w:rsidR="004270CB">
        <w:rPr>
          <w:rFonts w:ascii="Times New Roman" w:hAnsi="Times New Roman"/>
          <w:sz w:val="24"/>
          <w:szCs w:val="24"/>
        </w:rPr>
        <w:t xml:space="preserve"> Thus states were allowed to keep their current federal Medicaid funding regardless of whether or not they choose to expand Medicaid.</w:t>
      </w:r>
      <w:r w:rsidRPr="00A06956">
        <w:rPr>
          <w:rFonts w:ascii="Times New Roman" w:hAnsi="Times New Roman"/>
          <w:sz w:val="24"/>
          <w:szCs w:val="24"/>
        </w:rPr>
        <w:t xml:space="preserve"> </w:t>
      </w:r>
    </w:p>
    <w:p w:rsidR="00A06956" w:rsidRPr="00A06956" w:rsidRDefault="00A06956" w:rsidP="00A06956">
      <w:pPr>
        <w:spacing w:after="0"/>
        <w:rPr>
          <w:rFonts w:ascii="Times New Roman" w:hAnsi="Times New Roman"/>
          <w:sz w:val="24"/>
          <w:szCs w:val="24"/>
        </w:rPr>
      </w:pPr>
    </w:p>
    <w:p w:rsidR="00BA3588" w:rsidRDefault="00A06956" w:rsidP="00A06956">
      <w:pPr>
        <w:spacing w:after="0"/>
        <w:rPr>
          <w:rFonts w:ascii="Times New Roman" w:hAnsi="Times New Roman"/>
          <w:sz w:val="24"/>
          <w:szCs w:val="24"/>
        </w:rPr>
      </w:pPr>
      <w:r>
        <w:rPr>
          <w:rFonts w:ascii="Times New Roman" w:hAnsi="Times New Roman"/>
          <w:sz w:val="24"/>
          <w:szCs w:val="24"/>
        </w:rPr>
        <w:t>Following this ruling many state</w:t>
      </w:r>
      <w:r w:rsidR="00F72FFF">
        <w:rPr>
          <w:rFonts w:ascii="Times New Roman" w:hAnsi="Times New Roman"/>
          <w:sz w:val="24"/>
          <w:szCs w:val="24"/>
        </w:rPr>
        <w:t>s</w:t>
      </w:r>
      <w:r>
        <w:rPr>
          <w:rFonts w:ascii="Times New Roman" w:hAnsi="Times New Roman"/>
          <w:sz w:val="24"/>
          <w:szCs w:val="24"/>
        </w:rPr>
        <w:t>, including Utah, identified a need to determine if expanding Medicaid would be beneficial to the state.  As part of its efforts in this regard</w:t>
      </w:r>
      <w:r w:rsidRPr="00A06956">
        <w:rPr>
          <w:rFonts w:ascii="Times New Roman" w:hAnsi="Times New Roman"/>
          <w:sz w:val="24"/>
          <w:szCs w:val="24"/>
        </w:rPr>
        <w:t xml:space="preserve">, the </w:t>
      </w:r>
      <w:r>
        <w:rPr>
          <w:rFonts w:ascii="Times New Roman" w:hAnsi="Times New Roman"/>
          <w:sz w:val="24"/>
          <w:szCs w:val="24"/>
        </w:rPr>
        <w:t xml:space="preserve">Utah </w:t>
      </w:r>
      <w:r w:rsidRPr="00A06956">
        <w:rPr>
          <w:rFonts w:ascii="Times New Roman" w:hAnsi="Times New Roman"/>
          <w:sz w:val="24"/>
          <w:szCs w:val="24"/>
        </w:rPr>
        <w:t>Department of Health</w:t>
      </w:r>
      <w:r w:rsidR="005F5496">
        <w:rPr>
          <w:rFonts w:ascii="Times New Roman" w:hAnsi="Times New Roman"/>
          <w:sz w:val="24"/>
          <w:szCs w:val="24"/>
        </w:rPr>
        <w:t xml:space="preserve"> (DOH)</w:t>
      </w:r>
      <w:r>
        <w:rPr>
          <w:rFonts w:ascii="Times New Roman" w:hAnsi="Times New Roman"/>
          <w:sz w:val="24"/>
          <w:szCs w:val="24"/>
        </w:rPr>
        <w:t xml:space="preserve"> </w:t>
      </w:r>
      <w:r w:rsidRPr="00A06956">
        <w:rPr>
          <w:rFonts w:ascii="Times New Roman" w:hAnsi="Times New Roman"/>
          <w:sz w:val="24"/>
          <w:szCs w:val="24"/>
        </w:rPr>
        <w:t xml:space="preserve">contracted with </w:t>
      </w:r>
      <w:r w:rsidR="00BA0B77">
        <w:rPr>
          <w:rFonts w:ascii="Times New Roman" w:hAnsi="Times New Roman"/>
          <w:sz w:val="24"/>
          <w:szCs w:val="24"/>
        </w:rPr>
        <w:t>t</w:t>
      </w:r>
      <w:r w:rsidRPr="00A06956">
        <w:rPr>
          <w:rFonts w:ascii="Times New Roman" w:hAnsi="Times New Roman"/>
          <w:sz w:val="24"/>
          <w:szCs w:val="24"/>
        </w:rPr>
        <w:t xml:space="preserve">he </w:t>
      </w:r>
      <w:r>
        <w:rPr>
          <w:rFonts w:ascii="Times New Roman" w:hAnsi="Times New Roman"/>
          <w:sz w:val="24"/>
          <w:szCs w:val="24"/>
        </w:rPr>
        <w:t>Public Consulting Group</w:t>
      </w:r>
      <w:r w:rsidR="00F72FFF">
        <w:rPr>
          <w:rFonts w:ascii="Times New Roman" w:hAnsi="Times New Roman"/>
          <w:sz w:val="24"/>
          <w:szCs w:val="24"/>
        </w:rPr>
        <w:t xml:space="preserve"> (PCG) to</w:t>
      </w:r>
      <w:r w:rsidRPr="00A06956">
        <w:rPr>
          <w:rFonts w:ascii="Times New Roman" w:hAnsi="Times New Roman"/>
          <w:sz w:val="24"/>
          <w:szCs w:val="24"/>
        </w:rPr>
        <w:t xml:space="preserve"> </w:t>
      </w:r>
      <w:r>
        <w:rPr>
          <w:rFonts w:ascii="Times New Roman" w:hAnsi="Times New Roman"/>
          <w:sz w:val="24"/>
          <w:szCs w:val="24"/>
        </w:rPr>
        <w:t>model</w:t>
      </w:r>
      <w:r w:rsidRPr="00A06956">
        <w:rPr>
          <w:rFonts w:ascii="Times New Roman" w:hAnsi="Times New Roman"/>
          <w:sz w:val="24"/>
          <w:szCs w:val="24"/>
        </w:rPr>
        <w:t xml:space="preserve"> </w:t>
      </w:r>
      <w:r w:rsidR="00BA3588">
        <w:rPr>
          <w:rFonts w:ascii="Times New Roman" w:hAnsi="Times New Roman"/>
          <w:sz w:val="24"/>
          <w:szCs w:val="24"/>
        </w:rPr>
        <w:t xml:space="preserve">and project </w:t>
      </w:r>
      <w:r w:rsidRPr="00A06956">
        <w:rPr>
          <w:rFonts w:ascii="Times New Roman" w:hAnsi="Times New Roman"/>
          <w:sz w:val="24"/>
          <w:szCs w:val="24"/>
        </w:rPr>
        <w:t xml:space="preserve">the impacts of expanding or not expanding </w:t>
      </w:r>
      <w:r w:rsidR="00BA3588">
        <w:rPr>
          <w:rFonts w:ascii="Times New Roman" w:hAnsi="Times New Roman"/>
          <w:sz w:val="24"/>
          <w:szCs w:val="24"/>
        </w:rPr>
        <w:t>Utah’s</w:t>
      </w:r>
      <w:r w:rsidRPr="00A06956">
        <w:rPr>
          <w:rFonts w:ascii="Times New Roman" w:hAnsi="Times New Roman"/>
          <w:sz w:val="24"/>
          <w:szCs w:val="24"/>
        </w:rPr>
        <w:t xml:space="preserve"> Medicaid program. </w:t>
      </w:r>
    </w:p>
    <w:p w:rsidR="00BA3588" w:rsidRDefault="00BA3588" w:rsidP="00A06956">
      <w:pPr>
        <w:spacing w:after="0"/>
        <w:rPr>
          <w:rFonts w:ascii="Times New Roman" w:hAnsi="Times New Roman"/>
          <w:sz w:val="24"/>
          <w:szCs w:val="24"/>
        </w:rPr>
      </w:pPr>
    </w:p>
    <w:p w:rsidR="00BA3588" w:rsidRDefault="00A06956" w:rsidP="00A06956">
      <w:pPr>
        <w:spacing w:after="0"/>
        <w:rPr>
          <w:rFonts w:ascii="Times New Roman" w:hAnsi="Times New Roman"/>
          <w:sz w:val="24"/>
          <w:szCs w:val="24"/>
        </w:rPr>
      </w:pPr>
      <w:r w:rsidRPr="00A06956">
        <w:rPr>
          <w:rFonts w:ascii="Times New Roman" w:hAnsi="Times New Roman"/>
          <w:sz w:val="24"/>
          <w:szCs w:val="24"/>
        </w:rPr>
        <w:t>Th</w:t>
      </w:r>
      <w:r w:rsidR="00BA3588">
        <w:rPr>
          <w:rFonts w:ascii="Times New Roman" w:hAnsi="Times New Roman"/>
          <w:sz w:val="24"/>
          <w:szCs w:val="24"/>
        </w:rPr>
        <w:t>e following</w:t>
      </w:r>
      <w:r w:rsidRPr="00A06956">
        <w:rPr>
          <w:rFonts w:ascii="Times New Roman" w:hAnsi="Times New Roman"/>
          <w:sz w:val="24"/>
          <w:szCs w:val="24"/>
        </w:rPr>
        <w:t xml:space="preserve"> report estimates Medicaid enrollment and costs</w:t>
      </w:r>
      <w:r w:rsidR="00BA3588">
        <w:rPr>
          <w:rFonts w:ascii="Times New Roman" w:hAnsi="Times New Roman"/>
          <w:sz w:val="24"/>
          <w:szCs w:val="24"/>
        </w:rPr>
        <w:t xml:space="preserve"> </w:t>
      </w:r>
      <w:r w:rsidR="00541C62">
        <w:rPr>
          <w:rFonts w:ascii="Times New Roman" w:hAnsi="Times New Roman"/>
          <w:sz w:val="24"/>
          <w:szCs w:val="24"/>
        </w:rPr>
        <w:t xml:space="preserve">and savings </w:t>
      </w:r>
      <w:r w:rsidR="00BA3588">
        <w:rPr>
          <w:rFonts w:ascii="Times New Roman" w:hAnsi="Times New Roman"/>
          <w:sz w:val="24"/>
          <w:szCs w:val="24"/>
        </w:rPr>
        <w:t xml:space="preserve">in Utah under multiple scenarios and with differing populations.  The </w:t>
      </w:r>
      <w:r w:rsidR="00994DC5">
        <w:rPr>
          <w:rFonts w:ascii="Times New Roman" w:hAnsi="Times New Roman"/>
          <w:sz w:val="24"/>
          <w:szCs w:val="24"/>
        </w:rPr>
        <w:t>estimations include</w:t>
      </w:r>
      <w:r w:rsidR="00BA3588">
        <w:rPr>
          <w:rFonts w:ascii="Times New Roman" w:hAnsi="Times New Roman"/>
          <w:sz w:val="24"/>
          <w:szCs w:val="24"/>
        </w:rPr>
        <w:t>:</w:t>
      </w:r>
    </w:p>
    <w:p w:rsidR="00BA3588" w:rsidRDefault="00BA3588" w:rsidP="00A06956">
      <w:pPr>
        <w:spacing w:after="0"/>
        <w:rPr>
          <w:rFonts w:ascii="Times New Roman" w:hAnsi="Times New Roman"/>
          <w:sz w:val="24"/>
          <w:szCs w:val="24"/>
        </w:rPr>
      </w:pPr>
    </w:p>
    <w:p w:rsidR="00BA3588" w:rsidRDefault="00BA3588" w:rsidP="00386411">
      <w:pPr>
        <w:pStyle w:val="ListParagraph"/>
        <w:numPr>
          <w:ilvl w:val="0"/>
          <w:numId w:val="12"/>
        </w:numPr>
        <w:spacing w:after="0"/>
        <w:rPr>
          <w:rFonts w:ascii="Times New Roman" w:hAnsi="Times New Roman"/>
          <w:sz w:val="24"/>
          <w:szCs w:val="24"/>
        </w:rPr>
      </w:pPr>
      <w:r>
        <w:rPr>
          <w:rFonts w:ascii="Times New Roman" w:hAnsi="Times New Roman"/>
          <w:sz w:val="24"/>
          <w:szCs w:val="24"/>
        </w:rPr>
        <w:t>The costs of the current program projected into future years</w:t>
      </w:r>
      <w:r w:rsidR="00994DC5">
        <w:rPr>
          <w:rFonts w:ascii="Times New Roman" w:hAnsi="Times New Roman"/>
          <w:sz w:val="24"/>
          <w:szCs w:val="24"/>
        </w:rPr>
        <w:t>,</w:t>
      </w:r>
    </w:p>
    <w:p w:rsidR="00BA3588" w:rsidRDefault="00BA3588" w:rsidP="00386411">
      <w:pPr>
        <w:pStyle w:val="ListParagraph"/>
        <w:numPr>
          <w:ilvl w:val="0"/>
          <w:numId w:val="12"/>
        </w:numPr>
        <w:spacing w:after="0"/>
        <w:rPr>
          <w:rFonts w:ascii="Times New Roman" w:hAnsi="Times New Roman"/>
          <w:sz w:val="24"/>
          <w:szCs w:val="24"/>
        </w:rPr>
      </w:pPr>
      <w:r>
        <w:rPr>
          <w:rFonts w:ascii="Times New Roman" w:hAnsi="Times New Roman"/>
          <w:sz w:val="24"/>
          <w:szCs w:val="24"/>
        </w:rPr>
        <w:t>The costs of the “mandatory</w:t>
      </w:r>
      <w:r w:rsidR="008736C0">
        <w:rPr>
          <w:rFonts w:ascii="Times New Roman" w:hAnsi="Times New Roman"/>
          <w:sz w:val="24"/>
          <w:szCs w:val="24"/>
        </w:rPr>
        <w:t xml:space="preserve"> changes</w:t>
      </w:r>
      <w:r>
        <w:rPr>
          <w:rFonts w:ascii="Times New Roman" w:hAnsi="Times New Roman"/>
          <w:sz w:val="24"/>
          <w:szCs w:val="24"/>
        </w:rPr>
        <w:t>” due to eligibility determination conversion</w:t>
      </w:r>
      <w:r w:rsidR="00622716">
        <w:rPr>
          <w:rFonts w:ascii="Times New Roman" w:hAnsi="Times New Roman"/>
          <w:sz w:val="24"/>
          <w:szCs w:val="24"/>
        </w:rPr>
        <w:t>,</w:t>
      </w:r>
    </w:p>
    <w:p w:rsidR="00BA3588" w:rsidRDefault="00BA3588" w:rsidP="00386411">
      <w:pPr>
        <w:pStyle w:val="ListParagraph"/>
        <w:numPr>
          <w:ilvl w:val="0"/>
          <w:numId w:val="12"/>
        </w:numPr>
        <w:spacing w:after="0"/>
        <w:rPr>
          <w:rFonts w:ascii="Times New Roman" w:hAnsi="Times New Roman"/>
          <w:sz w:val="24"/>
          <w:szCs w:val="24"/>
        </w:rPr>
      </w:pPr>
      <w:r>
        <w:rPr>
          <w:rFonts w:ascii="Times New Roman" w:hAnsi="Times New Roman"/>
          <w:sz w:val="24"/>
          <w:szCs w:val="24"/>
        </w:rPr>
        <w:t>The costs of expanding Medicaid to two different federal poverty level (FPL) groupings – 0-100% FPL and 0-138% FPL</w:t>
      </w:r>
      <w:r w:rsidR="00994DC5">
        <w:rPr>
          <w:rFonts w:ascii="Times New Roman" w:hAnsi="Times New Roman"/>
          <w:sz w:val="24"/>
          <w:szCs w:val="24"/>
        </w:rPr>
        <w:t>,</w:t>
      </w:r>
    </w:p>
    <w:p w:rsidR="00BA3588" w:rsidRDefault="00BA3588" w:rsidP="00386411">
      <w:pPr>
        <w:pStyle w:val="ListParagraph"/>
        <w:numPr>
          <w:ilvl w:val="0"/>
          <w:numId w:val="12"/>
        </w:numPr>
        <w:spacing w:after="0"/>
        <w:rPr>
          <w:rFonts w:ascii="Times New Roman" w:hAnsi="Times New Roman"/>
          <w:sz w:val="24"/>
          <w:szCs w:val="24"/>
        </w:rPr>
      </w:pPr>
      <w:r>
        <w:rPr>
          <w:rFonts w:ascii="Times New Roman" w:hAnsi="Times New Roman"/>
          <w:sz w:val="24"/>
          <w:szCs w:val="24"/>
        </w:rPr>
        <w:t xml:space="preserve">The costs of </w:t>
      </w:r>
      <w:r w:rsidR="00994DC5">
        <w:rPr>
          <w:rFonts w:ascii="Times New Roman" w:hAnsi="Times New Roman"/>
          <w:sz w:val="24"/>
          <w:szCs w:val="24"/>
        </w:rPr>
        <w:t xml:space="preserve">the “woodwork” effect, </w:t>
      </w:r>
      <w:r>
        <w:rPr>
          <w:rFonts w:ascii="Times New Roman" w:hAnsi="Times New Roman"/>
          <w:sz w:val="24"/>
          <w:szCs w:val="24"/>
        </w:rPr>
        <w:t>providing coverage to the population currently eligible for Medicaid but not enrolled</w:t>
      </w:r>
      <w:r w:rsidR="00994DC5">
        <w:rPr>
          <w:rFonts w:ascii="Times New Roman" w:hAnsi="Times New Roman"/>
          <w:sz w:val="24"/>
          <w:szCs w:val="24"/>
        </w:rPr>
        <w:t>,</w:t>
      </w:r>
    </w:p>
    <w:p w:rsidR="00BA3588" w:rsidRDefault="00BA3588" w:rsidP="00386411">
      <w:pPr>
        <w:pStyle w:val="ListParagraph"/>
        <w:numPr>
          <w:ilvl w:val="0"/>
          <w:numId w:val="12"/>
        </w:numPr>
        <w:spacing w:after="0"/>
        <w:rPr>
          <w:rFonts w:ascii="Times New Roman" w:hAnsi="Times New Roman"/>
          <w:sz w:val="24"/>
          <w:szCs w:val="24"/>
        </w:rPr>
      </w:pPr>
      <w:r>
        <w:rPr>
          <w:rFonts w:ascii="Times New Roman" w:hAnsi="Times New Roman"/>
          <w:sz w:val="24"/>
          <w:szCs w:val="24"/>
        </w:rPr>
        <w:t>The crowd out effect – those who drop private coverage due to an expansion in public coverage</w:t>
      </w:r>
      <w:r w:rsidR="00994DC5">
        <w:rPr>
          <w:rFonts w:ascii="Times New Roman" w:hAnsi="Times New Roman"/>
          <w:sz w:val="24"/>
          <w:szCs w:val="24"/>
        </w:rPr>
        <w:t>,</w:t>
      </w:r>
    </w:p>
    <w:p w:rsidR="00054975" w:rsidRPr="00054975" w:rsidRDefault="00054975" w:rsidP="00386411">
      <w:pPr>
        <w:pStyle w:val="ListParagraph"/>
        <w:numPr>
          <w:ilvl w:val="0"/>
          <w:numId w:val="12"/>
        </w:numPr>
        <w:spacing w:after="0"/>
        <w:rPr>
          <w:rFonts w:ascii="Times New Roman" w:hAnsi="Times New Roman"/>
          <w:sz w:val="24"/>
          <w:szCs w:val="24"/>
        </w:rPr>
      </w:pPr>
      <w:r w:rsidRPr="00054975">
        <w:rPr>
          <w:rFonts w:ascii="Times New Roman" w:hAnsi="Times New Roman"/>
          <w:sz w:val="24"/>
          <w:szCs w:val="24"/>
        </w:rPr>
        <w:t>Opportunity costs</w:t>
      </w:r>
      <w:r>
        <w:rPr>
          <w:rFonts w:ascii="Times New Roman" w:hAnsi="Times New Roman"/>
          <w:sz w:val="24"/>
          <w:szCs w:val="24"/>
        </w:rPr>
        <w:t xml:space="preserve"> – the modeled los</w:t>
      </w:r>
      <w:r w:rsidR="00674E75">
        <w:rPr>
          <w:rFonts w:ascii="Times New Roman" w:hAnsi="Times New Roman"/>
          <w:sz w:val="24"/>
          <w:szCs w:val="24"/>
        </w:rPr>
        <w:t>s</w:t>
      </w:r>
      <w:r>
        <w:rPr>
          <w:rFonts w:ascii="Times New Roman" w:hAnsi="Times New Roman"/>
          <w:sz w:val="24"/>
          <w:szCs w:val="24"/>
        </w:rPr>
        <w:t>es to public health and well being if the opportunity to expand is not taken</w:t>
      </w:r>
      <w:r w:rsidR="00994DC5">
        <w:rPr>
          <w:rFonts w:ascii="Times New Roman" w:hAnsi="Times New Roman"/>
          <w:sz w:val="24"/>
          <w:szCs w:val="24"/>
        </w:rPr>
        <w:t>,</w:t>
      </w:r>
      <w:r>
        <w:rPr>
          <w:rFonts w:ascii="Times New Roman" w:hAnsi="Times New Roman"/>
          <w:sz w:val="24"/>
          <w:szCs w:val="24"/>
        </w:rPr>
        <w:t xml:space="preserve"> </w:t>
      </w:r>
    </w:p>
    <w:p w:rsidR="00054975" w:rsidRPr="00054975" w:rsidRDefault="00054975" w:rsidP="00386411">
      <w:pPr>
        <w:pStyle w:val="ListParagraph"/>
        <w:numPr>
          <w:ilvl w:val="0"/>
          <w:numId w:val="12"/>
        </w:numPr>
        <w:spacing w:after="0"/>
        <w:rPr>
          <w:rFonts w:ascii="Times New Roman" w:hAnsi="Times New Roman"/>
          <w:sz w:val="24"/>
          <w:szCs w:val="24"/>
        </w:rPr>
      </w:pPr>
      <w:r w:rsidRPr="00054975">
        <w:rPr>
          <w:rFonts w:ascii="Times New Roman" w:hAnsi="Times New Roman"/>
          <w:sz w:val="24"/>
          <w:szCs w:val="24"/>
        </w:rPr>
        <w:t xml:space="preserve">Uncompensated care savings </w:t>
      </w:r>
      <w:r>
        <w:rPr>
          <w:rFonts w:ascii="Times New Roman" w:hAnsi="Times New Roman"/>
          <w:sz w:val="24"/>
          <w:szCs w:val="24"/>
        </w:rPr>
        <w:t>– the decrease in the amount of unreimbursed care hospitals and other providers must face due to an increase in Medicaid coverage for the uninsured</w:t>
      </w:r>
      <w:r w:rsidR="00994DC5">
        <w:rPr>
          <w:rFonts w:ascii="Times New Roman" w:hAnsi="Times New Roman"/>
          <w:sz w:val="24"/>
          <w:szCs w:val="24"/>
        </w:rPr>
        <w:t>,</w:t>
      </w:r>
    </w:p>
    <w:p w:rsidR="00054975" w:rsidRPr="00054975" w:rsidRDefault="00054975" w:rsidP="00386411">
      <w:pPr>
        <w:pStyle w:val="ListParagraph"/>
        <w:numPr>
          <w:ilvl w:val="0"/>
          <w:numId w:val="12"/>
        </w:numPr>
        <w:spacing w:after="0"/>
        <w:rPr>
          <w:rFonts w:ascii="Times New Roman" w:hAnsi="Times New Roman"/>
          <w:sz w:val="24"/>
          <w:szCs w:val="24"/>
        </w:rPr>
      </w:pPr>
      <w:r w:rsidRPr="00054975">
        <w:rPr>
          <w:rFonts w:ascii="Times New Roman" w:hAnsi="Times New Roman"/>
          <w:sz w:val="24"/>
          <w:szCs w:val="24"/>
        </w:rPr>
        <w:t>Public assistance savings</w:t>
      </w:r>
      <w:r>
        <w:rPr>
          <w:rFonts w:ascii="Times New Roman" w:hAnsi="Times New Roman"/>
          <w:sz w:val="24"/>
          <w:szCs w:val="24"/>
        </w:rPr>
        <w:t xml:space="preserve"> – the need for less expenditures by state and local governments on programs to assist the indigent and uninsured as they gain Medicaid coverage</w:t>
      </w:r>
      <w:r w:rsidR="00994DC5">
        <w:rPr>
          <w:rFonts w:ascii="Times New Roman" w:hAnsi="Times New Roman"/>
          <w:sz w:val="24"/>
          <w:szCs w:val="24"/>
        </w:rPr>
        <w:t>,</w:t>
      </w:r>
    </w:p>
    <w:p w:rsidR="00054975" w:rsidRPr="00054975" w:rsidRDefault="00054975" w:rsidP="00386411">
      <w:pPr>
        <w:pStyle w:val="ListParagraph"/>
        <w:numPr>
          <w:ilvl w:val="0"/>
          <w:numId w:val="12"/>
        </w:numPr>
        <w:spacing w:after="0"/>
        <w:rPr>
          <w:rFonts w:ascii="Times New Roman" w:hAnsi="Times New Roman"/>
          <w:sz w:val="24"/>
          <w:szCs w:val="24"/>
        </w:rPr>
      </w:pPr>
      <w:r w:rsidRPr="00054975">
        <w:rPr>
          <w:rFonts w:ascii="Times New Roman" w:hAnsi="Times New Roman"/>
          <w:sz w:val="24"/>
          <w:szCs w:val="24"/>
        </w:rPr>
        <w:t>Medically needy savings</w:t>
      </w:r>
      <w:r>
        <w:rPr>
          <w:rFonts w:ascii="Times New Roman" w:hAnsi="Times New Roman"/>
          <w:sz w:val="24"/>
          <w:szCs w:val="24"/>
        </w:rPr>
        <w:t xml:space="preserve"> – the gain or los</w:t>
      </w:r>
      <w:r w:rsidR="00994DC5">
        <w:rPr>
          <w:rFonts w:ascii="Times New Roman" w:hAnsi="Times New Roman"/>
          <w:sz w:val="24"/>
          <w:szCs w:val="24"/>
        </w:rPr>
        <w:t>s</w:t>
      </w:r>
      <w:r>
        <w:rPr>
          <w:rFonts w:ascii="Times New Roman" w:hAnsi="Times New Roman"/>
          <w:sz w:val="24"/>
          <w:szCs w:val="24"/>
        </w:rPr>
        <w:t xml:space="preserve"> of revenue to the state as those on the current Medically need</w:t>
      </w:r>
      <w:r w:rsidR="00994DC5">
        <w:rPr>
          <w:rFonts w:ascii="Times New Roman" w:hAnsi="Times New Roman"/>
          <w:sz w:val="24"/>
          <w:szCs w:val="24"/>
        </w:rPr>
        <w:t>y</w:t>
      </w:r>
      <w:r>
        <w:rPr>
          <w:rFonts w:ascii="Times New Roman" w:hAnsi="Times New Roman"/>
          <w:sz w:val="24"/>
          <w:szCs w:val="24"/>
        </w:rPr>
        <w:t xml:space="preserve"> program leave the program and enroll in expanded Medicaid</w:t>
      </w:r>
      <w:r w:rsidR="00994DC5">
        <w:rPr>
          <w:rFonts w:ascii="Times New Roman" w:hAnsi="Times New Roman"/>
          <w:sz w:val="24"/>
          <w:szCs w:val="24"/>
        </w:rPr>
        <w:t>, and</w:t>
      </w:r>
    </w:p>
    <w:p w:rsidR="00054975" w:rsidRPr="00054975" w:rsidRDefault="00054975" w:rsidP="00386411">
      <w:pPr>
        <w:pStyle w:val="ListParagraph"/>
        <w:numPr>
          <w:ilvl w:val="0"/>
          <w:numId w:val="12"/>
        </w:numPr>
        <w:spacing w:after="0"/>
        <w:rPr>
          <w:rFonts w:ascii="Times New Roman" w:hAnsi="Times New Roman"/>
          <w:sz w:val="24"/>
          <w:szCs w:val="24"/>
        </w:rPr>
      </w:pPr>
      <w:r w:rsidRPr="00054975">
        <w:rPr>
          <w:rFonts w:ascii="Times New Roman" w:hAnsi="Times New Roman"/>
          <w:sz w:val="24"/>
          <w:szCs w:val="24"/>
        </w:rPr>
        <w:t>Anticipated revenues</w:t>
      </w:r>
      <w:r>
        <w:rPr>
          <w:rFonts w:ascii="Times New Roman" w:hAnsi="Times New Roman"/>
          <w:sz w:val="24"/>
          <w:szCs w:val="24"/>
        </w:rPr>
        <w:t xml:space="preserve"> – the</w:t>
      </w:r>
      <w:r w:rsidR="00994DC5">
        <w:rPr>
          <w:rFonts w:ascii="Times New Roman" w:hAnsi="Times New Roman"/>
          <w:sz w:val="24"/>
          <w:szCs w:val="24"/>
        </w:rPr>
        <w:t xml:space="preserve"> e</w:t>
      </w:r>
      <w:r>
        <w:rPr>
          <w:rFonts w:ascii="Times New Roman" w:hAnsi="Times New Roman"/>
          <w:sz w:val="24"/>
          <w:szCs w:val="24"/>
        </w:rPr>
        <w:t>ffect the increased federal and state spending that would occur under Medicaid expansion would have on the economy of Utah</w:t>
      </w:r>
      <w:r w:rsidR="00994DC5">
        <w:rPr>
          <w:rFonts w:ascii="Times New Roman" w:hAnsi="Times New Roman"/>
          <w:sz w:val="24"/>
          <w:szCs w:val="24"/>
        </w:rPr>
        <w:t>.</w:t>
      </w:r>
    </w:p>
    <w:p w:rsidR="00BA3588" w:rsidRDefault="00BA3588" w:rsidP="00054975">
      <w:pPr>
        <w:spacing w:after="0"/>
        <w:ind w:left="360"/>
        <w:rPr>
          <w:rFonts w:ascii="Times New Roman" w:hAnsi="Times New Roman"/>
          <w:sz w:val="24"/>
          <w:szCs w:val="24"/>
        </w:rPr>
      </w:pPr>
    </w:p>
    <w:p w:rsidR="00E71F70" w:rsidRDefault="00E71F70" w:rsidP="00054975">
      <w:pPr>
        <w:spacing w:after="0"/>
        <w:ind w:left="360"/>
        <w:rPr>
          <w:rFonts w:ascii="Times New Roman" w:hAnsi="Times New Roman"/>
          <w:sz w:val="24"/>
          <w:szCs w:val="24"/>
        </w:rPr>
      </w:pPr>
    </w:p>
    <w:p w:rsidR="00E71F70" w:rsidRDefault="00E71F70" w:rsidP="00054975">
      <w:pPr>
        <w:spacing w:after="0"/>
        <w:ind w:left="360"/>
        <w:rPr>
          <w:rFonts w:ascii="Times New Roman" w:hAnsi="Times New Roman"/>
          <w:sz w:val="24"/>
          <w:szCs w:val="24"/>
        </w:rPr>
      </w:pPr>
    </w:p>
    <w:p w:rsidR="00DF0D48" w:rsidRDefault="00DF0D48" w:rsidP="00E71F70">
      <w:pPr>
        <w:spacing w:after="0"/>
        <w:rPr>
          <w:rFonts w:ascii="Times New Roman" w:hAnsi="Times New Roman"/>
          <w:sz w:val="24"/>
          <w:szCs w:val="24"/>
        </w:rPr>
      </w:pPr>
      <w:r>
        <w:rPr>
          <w:rFonts w:ascii="Times New Roman" w:hAnsi="Times New Roman"/>
          <w:sz w:val="24"/>
          <w:szCs w:val="24"/>
        </w:rPr>
        <w:lastRenderedPageBreak/>
        <w:t xml:space="preserve">Three different </w:t>
      </w:r>
      <w:r w:rsidR="00E71F70">
        <w:rPr>
          <w:rFonts w:ascii="Times New Roman" w:hAnsi="Times New Roman"/>
          <w:sz w:val="24"/>
          <w:szCs w:val="24"/>
        </w:rPr>
        <w:t>populations are included in the expansion modeling.  These populations are:</w:t>
      </w:r>
    </w:p>
    <w:p w:rsidR="00E71F70" w:rsidRDefault="00E71F70" w:rsidP="00054975">
      <w:pPr>
        <w:spacing w:after="0"/>
        <w:ind w:left="360"/>
        <w:rPr>
          <w:rFonts w:ascii="Times New Roman" w:hAnsi="Times New Roman"/>
          <w:sz w:val="24"/>
          <w:szCs w:val="24"/>
        </w:rPr>
      </w:pPr>
    </w:p>
    <w:p w:rsidR="00E71F70" w:rsidRDefault="00E71F70" w:rsidP="00386411">
      <w:pPr>
        <w:pStyle w:val="ListParagraph"/>
        <w:numPr>
          <w:ilvl w:val="0"/>
          <w:numId w:val="13"/>
        </w:numPr>
        <w:spacing w:after="0"/>
        <w:rPr>
          <w:rFonts w:ascii="Times New Roman" w:hAnsi="Times New Roman"/>
          <w:sz w:val="24"/>
          <w:szCs w:val="24"/>
        </w:rPr>
      </w:pPr>
      <w:r>
        <w:rPr>
          <w:rFonts w:ascii="Times New Roman" w:hAnsi="Times New Roman"/>
          <w:sz w:val="24"/>
          <w:szCs w:val="24"/>
        </w:rPr>
        <w:t>Children</w:t>
      </w:r>
      <w:r w:rsidR="00994DC5">
        <w:rPr>
          <w:rFonts w:ascii="Times New Roman" w:hAnsi="Times New Roman"/>
          <w:sz w:val="24"/>
          <w:szCs w:val="24"/>
        </w:rPr>
        <w:t>,</w:t>
      </w:r>
    </w:p>
    <w:p w:rsidR="00E71F70" w:rsidRDefault="00E71F70" w:rsidP="00386411">
      <w:pPr>
        <w:pStyle w:val="ListParagraph"/>
        <w:numPr>
          <w:ilvl w:val="0"/>
          <w:numId w:val="13"/>
        </w:numPr>
        <w:spacing w:after="0"/>
        <w:rPr>
          <w:rFonts w:ascii="Times New Roman" w:hAnsi="Times New Roman"/>
          <w:sz w:val="24"/>
          <w:szCs w:val="24"/>
        </w:rPr>
      </w:pPr>
      <w:r>
        <w:rPr>
          <w:rFonts w:ascii="Times New Roman" w:hAnsi="Times New Roman"/>
          <w:sz w:val="24"/>
          <w:szCs w:val="24"/>
        </w:rPr>
        <w:t>Adults with dependent children</w:t>
      </w:r>
      <w:r w:rsidR="00994DC5">
        <w:rPr>
          <w:rFonts w:ascii="Times New Roman" w:hAnsi="Times New Roman"/>
          <w:sz w:val="24"/>
          <w:szCs w:val="24"/>
        </w:rPr>
        <w:t>, and</w:t>
      </w:r>
    </w:p>
    <w:p w:rsidR="00E71F70" w:rsidRDefault="00E71F70" w:rsidP="00386411">
      <w:pPr>
        <w:pStyle w:val="ListParagraph"/>
        <w:numPr>
          <w:ilvl w:val="0"/>
          <w:numId w:val="13"/>
        </w:numPr>
        <w:spacing w:after="0"/>
        <w:rPr>
          <w:rFonts w:ascii="Times New Roman" w:hAnsi="Times New Roman"/>
          <w:sz w:val="24"/>
          <w:szCs w:val="24"/>
        </w:rPr>
      </w:pPr>
      <w:r>
        <w:rPr>
          <w:rFonts w:ascii="Times New Roman" w:hAnsi="Times New Roman"/>
          <w:sz w:val="24"/>
          <w:szCs w:val="24"/>
        </w:rPr>
        <w:t>Adults without dependent children</w:t>
      </w:r>
      <w:r w:rsidR="00994DC5">
        <w:rPr>
          <w:rFonts w:ascii="Times New Roman" w:hAnsi="Times New Roman"/>
          <w:sz w:val="24"/>
          <w:szCs w:val="24"/>
        </w:rPr>
        <w:t>.</w:t>
      </w:r>
    </w:p>
    <w:p w:rsidR="00E71F70" w:rsidRPr="00E71F70" w:rsidRDefault="00E71F70" w:rsidP="00E71F70">
      <w:pPr>
        <w:spacing w:after="0"/>
        <w:rPr>
          <w:rFonts w:ascii="Times New Roman" w:hAnsi="Times New Roman"/>
          <w:sz w:val="24"/>
          <w:szCs w:val="24"/>
        </w:rPr>
      </w:pPr>
    </w:p>
    <w:p w:rsidR="00927D7B" w:rsidRDefault="00927D7B" w:rsidP="00A06956">
      <w:pPr>
        <w:spacing w:after="0"/>
        <w:rPr>
          <w:rFonts w:ascii="Times New Roman" w:hAnsi="Times New Roman"/>
          <w:sz w:val="24"/>
          <w:szCs w:val="24"/>
        </w:rPr>
      </w:pPr>
      <w:r>
        <w:rPr>
          <w:rFonts w:ascii="Times New Roman" w:hAnsi="Times New Roman"/>
          <w:sz w:val="24"/>
          <w:szCs w:val="24"/>
        </w:rPr>
        <w:t xml:space="preserve">Finally, the </w:t>
      </w:r>
      <w:r w:rsidRPr="00927D7B">
        <w:rPr>
          <w:rFonts w:ascii="Times New Roman" w:hAnsi="Times New Roman"/>
          <w:sz w:val="24"/>
          <w:szCs w:val="24"/>
        </w:rPr>
        <w:t>analysis</w:t>
      </w:r>
      <w:r>
        <w:rPr>
          <w:rFonts w:ascii="Times New Roman" w:hAnsi="Times New Roman"/>
          <w:sz w:val="24"/>
          <w:szCs w:val="24"/>
        </w:rPr>
        <w:t xml:space="preserve"> is </w:t>
      </w:r>
      <w:r w:rsidR="00B43E0C">
        <w:rPr>
          <w:rFonts w:ascii="Times New Roman" w:hAnsi="Times New Roman"/>
          <w:sz w:val="24"/>
          <w:szCs w:val="24"/>
        </w:rPr>
        <w:t xml:space="preserve">presented both yearly through 2023 and in some instances </w:t>
      </w:r>
      <w:r w:rsidRPr="00927D7B">
        <w:rPr>
          <w:rFonts w:ascii="Times New Roman" w:hAnsi="Times New Roman"/>
          <w:sz w:val="24"/>
          <w:szCs w:val="24"/>
        </w:rPr>
        <w:t xml:space="preserve">over multiple time periods as follows: </w:t>
      </w:r>
    </w:p>
    <w:p w:rsidR="00927D7B" w:rsidRDefault="00927D7B" w:rsidP="00A06956">
      <w:pPr>
        <w:spacing w:after="0"/>
        <w:rPr>
          <w:rFonts w:ascii="Times New Roman" w:hAnsi="Times New Roman"/>
          <w:sz w:val="24"/>
          <w:szCs w:val="24"/>
        </w:rPr>
      </w:pPr>
    </w:p>
    <w:p w:rsidR="00927D7B" w:rsidRDefault="00FB4E3C" w:rsidP="00386411">
      <w:pPr>
        <w:pStyle w:val="ListParagraph"/>
        <w:numPr>
          <w:ilvl w:val="0"/>
          <w:numId w:val="14"/>
        </w:numPr>
        <w:spacing w:after="0"/>
        <w:rPr>
          <w:rFonts w:ascii="Times New Roman" w:hAnsi="Times New Roman"/>
          <w:sz w:val="24"/>
          <w:szCs w:val="24"/>
        </w:rPr>
      </w:pPr>
      <w:r>
        <w:rPr>
          <w:rFonts w:ascii="Times New Roman" w:hAnsi="Times New Roman"/>
          <w:sz w:val="24"/>
          <w:szCs w:val="24"/>
        </w:rPr>
        <w:t>S</w:t>
      </w:r>
      <w:r w:rsidR="00927D7B" w:rsidRPr="00927D7B">
        <w:rPr>
          <w:rFonts w:ascii="Times New Roman" w:hAnsi="Times New Roman"/>
          <w:sz w:val="24"/>
          <w:szCs w:val="24"/>
        </w:rPr>
        <w:t>i</w:t>
      </w:r>
      <w:r w:rsidR="00927D7B">
        <w:rPr>
          <w:rFonts w:ascii="Times New Roman" w:hAnsi="Times New Roman"/>
          <w:sz w:val="24"/>
          <w:szCs w:val="24"/>
        </w:rPr>
        <w:t>x months (January – June 2014)</w:t>
      </w:r>
      <w:r w:rsidR="00994DC5">
        <w:rPr>
          <w:rFonts w:ascii="Times New Roman" w:hAnsi="Times New Roman"/>
          <w:sz w:val="24"/>
          <w:szCs w:val="24"/>
        </w:rPr>
        <w:t>,</w:t>
      </w:r>
    </w:p>
    <w:p w:rsidR="00927D7B" w:rsidRDefault="00FB4E3C" w:rsidP="00386411">
      <w:pPr>
        <w:pStyle w:val="ListParagraph"/>
        <w:numPr>
          <w:ilvl w:val="0"/>
          <w:numId w:val="14"/>
        </w:numPr>
        <w:spacing w:after="0"/>
        <w:rPr>
          <w:rFonts w:ascii="Times New Roman" w:hAnsi="Times New Roman"/>
          <w:sz w:val="24"/>
          <w:szCs w:val="24"/>
        </w:rPr>
      </w:pPr>
      <w:r>
        <w:rPr>
          <w:rFonts w:ascii="Times New Roman" w:hAnsi="Times New Roman"/>
          <w:sz w:val="24"/>
          <w:szCs w:val="24"/>
        </w:rPr>
        <w:t>O</w:t>
      </w:r>
      <w:r w:rsidR="00927D7B" w:rsidRPr="00927D7B">
        <w:rPr>
          <w:rFonts w:ascii="Times New Roman" w:hAnsi="Times New Roman"/>
          <w:sz w:val="24"/>
          <w:szCs w:val="24"/>
        </w:rPr>
        <w:t xml:space="preserve">ne </w:t>
      </w:r>
      <w:r w:rsidR="00927D7B">
        <w:rPr>
          <w:rFonts w:ascii="Times New Roman" w:hAnsi="Times New Roman"/>
          <w:sz w:val="24"/>
          <w:szCs w:val="24"/>
        </w:rPr>
        <w:t>year (January – December 2014)</w:t>
      </w:r>
      <w:r w:rsidR="00994DC5">
        <w:rPr>
          <w:rFonts w:ascii="Times New Roman" w:hAnsi="Times New Roman"/>
          <w:sz w:val="24"/>
          <w:szCs w:val="24"/>
        </w:rPr>
        <w:t>,</w:t>
      </w:r>
    </w:p>
    <w:p w:rsidR="00927D7B" w:rsidRDefault="00FB4E3C" w:rsidP="00386411">
      <w:pPr>
        <w:pStyle w:val="ListParagraph"/>
        <w:numPr>
          <w:ilvl w:val="0"/>
          <w:numId w:val="14"/>
        </w:numPr>
        <w:spacing w:after="0"/>
        <w:rPr>
          <w:rFonts w:ascii="Times New Roman" w:hAnsi="Times New Roman"/>
          <w:sz w:val="24"/>
          <w:szCs w:val="24"/>
        </w:rPr>
      </w:pPr>
      <w:r>
        <w:rPr>
          <w:rFonts w:ascii="Times New Roman" w:hAnsi="Times New Roman"/>
          <w:sz w:val="24"/>
          <w:szCs w:val="24"/>
        </w:rPr>
        <w:t>T</w:t>
      </w:r>
      <w:r w:rsidR="00927D7B" w:rsidRPr="00927D7B">
        <w:rPr>
          <w:rFonts w:ascii="Times New Roman" w:hAnsi="Times New Roman"/>
          <w:sz w:val="24"/>
          <w:szCs w:val="24"/>
        </w:rPr>
        <w:t>hree years</w:t>
      </w:r>
      <w:r w:rsidR="00927D7B">
        <w:rPr>
          <w:rFonts w:ascii="Times New Roman" w:hAnsi="Times New Roman"/>
          <w:sz w:val="24"/>
          <w:szCs w:val="24"/>
        </w:rPr>
        <w:t xml:space="preserve"> (January 2014 – December 2016</w:t>
      </w:r>
      <w:r w:rsidR="000016BD">
        <w:rPr>
          <w:rFonts w:ascii="Times New Roman" w:hAnsi="Times New Roman"/>
          <w:sz w:val="24"/>
          <w:szCs w:val="24"/>
        </w:rPr>
        <w:t>)</w:t>
      </w:r>
      <w:r w:rsidR="00994DC5">
        <w:rPr>
          <w:rFonts w:ascii="Times New Roman" w:hAnsi="Times New Roman"/>
          <w:sz w:val="24"/>
          <w:szCs w:val="24"/>
        </w:rPr>
        <w:t>, and</w:t>
      </w:r>
    </w:p>
    <w:p w:rsidR="00927D7B" w:rsidRPr="00927D7B" w:rsidRDefault="00FB4E3C" w:rsidP="00386411">
      <w:pPr>
        <w:pStyle w:val="ListParagraph"/>
        <w:numPr>
          <w:ilvl w:val="0"/>
          <w:numId w:val="14"/>
        </w:numPr>
        <w:spacing w:after="0"/>
        <w:rPr>
          <w:rFonts w:ascii="Times New Roman" w:hAnsi="Times New Roman"/>
          <w:sz w:val="24"/>
          <w:szCs w:val="24"/>
        </w:rPr>
      </w:pPr>
      <w:r>
        <w:rPr>
          <w:rFonts w:ascii="Times New Roman" w:hAnsi="Times New Roman"/>
          <w:sz w:val="24"/>
          <w:szCs w:val="24"/>
        </w:rPr>
        <w:t>T</w:t>
      </w:r>
      <w:r w:rsidR="00927D7B" w:rsidRPr="00927D7B">
        <w:rPr>
          <w:rFonts w:ascii="Times New Roman" w:hAnsi="Times New Roman"/>
          <w:sz w:val="24"/>
          <w:szCs w:val="24"/>
        </w:rPr>
        <w:t xml:space="preserve">en years (January 2014 – Dec. 2023).   </w:t>
      </w:r>
    </w:p>
    <w:p w:rsidR="00927D7B" w:rsidRDefault="00927D7B" w:rsidP="00A06956">
      <w:pPr>
        <w:spacing w:after="0"/>
        <w:rPr>
          <w:rFonts w:ascii="Times New Roman" w:hAnsi="Times New Roman"/>
          <w:sz w:val="24"/>
          <w:szCs w:val="24"/>
        </w:rPr>
      </w:pPr>
    </w:p>
    <w:p w:rsidR="00256EB0" w:rsidRPr="00DE0AD0" w:rsidRDefault="00575C45" w:rsidP="00A06956">
      <w:pPr>
        <w:spacing w:after="0"/>
        <w:rPr>
          <w:rFonts w:ascii="Times New Roman" w:hAnsi="Times New Roman"/>
          <w:b/>
          <w:sz w:val="24"/>
          <w:szCs w:val="24"/>
        </w:rPr>
      </w:pPr>
      <w:r w:rsidRPr="00DE0AD0">
        <w:rPr>
          <w:rFonts w:ascii="Times New Roman" w:hAnsi="Times New Roman"/>
          <w:b/>
          <w:sz w:val="24"/>
          <w:szCs w:val="24"/>
        </w:rPr>
        <w:t>Summary of Findings:</w:t>
      </w:r>
    </w:p>
    <w:p w:rsidR="00575C45" w:rsidRDefault="00575C45" w:rsidP="00A06956">
      <w:pPr>
        <w:spacing w:after="0"/>
        <w:rPr>
          <w:rFonts w:ascii="Times New Roman" w:hAnsi="Times New Roman"/>
          <w:sz w:val="24"/>
          <w:szCs w:val="24"/>
        </w:rPr>
      </w:pPr>
    </w:p>
    <w:p w:rsidR="00EA65D9" w:rsidRDefault="00FC11BC" w:rsidP="00A06956">
      <w:pPr>
        <w:spacing w:after="0"/>
        <w:rPr>
          <w:rFonts w:ascii="Times New Roman" w:hAnsi="Times New Roman"/>
          <w:sz w:val="24"/>
          <w:szCs w:val="24"/>
        </w:rPr>
      </w:pPr>
      <w:r>
        <w:rPr>
          <w:rFonts w:ascii="Times New Roman" w:hAnsi="Times New Roman"/>
          <w:sz w:val="24"/>
          <w:szCs w:val="24"/>
        </w:rPr>
        <w:t xml:space="preserve">This report provides a model of the future of the Utah Medicaid program under five different scenarios, which are presented </w:t>
      </w:r>
      <w:r w:rsidR="00EA65D9">
        <w:rPr>
          <w:rFonts w:ascii="Times New Roman" w:hAnsi="Times New Roman"/>
          <w:sz w:val="24"/>
          <w:szCs w:val="24"/>
        </w:rPr>
        <w:t xml:space="preserve">and analyzed </w:t>
      </w:r>
      <w:r>
        <w:rPr>
          <w:rFonts w:ascii="Times New Roman" w:hAnsi="Times New Roman"/>
          <w:sz w:val="24"/>
          <w:szCs w:val="24"/>
        </w:rPr>
        <w:t xml:space="preserve">in more complete detail in the next section.  </w:t>
      </w:r>
    </w:p>
    <w:p w:rsidR="00EA65D9" w:rsidRDefault="00EA65D9" w:rsidP="00A06956">
      <w:pPr>
        <w:spacing w:after="0"/>
        <w:rPr>
          <w:rFonts w:ascii="Times New Roman" w:hAnsi="Times New Roman"/>
          <w:sz w:val="24"/>
          <w:szCs w:val="24"/>
        </w:rPr>
      </w:pPr>
    </w:p>
    <w:p w:rsidR="00EA65D9" w:rsidRDefault="00EA65D9" w:rsidP="00EA65D9">
      <w:pPr>
        <w:rPr>
          <w:rFonts w:ascii="Times New Roman" w:hAnsi="Times New Roman"/>
          <w:sz w:val="24"/>
          <w:szCs w:val="24"/>
        </w:rPr>
      </w:pPr>
      <w:r>
        <w:rPr>
          <w:rFonts w:ascii="Times New Roman" w:hAnsi="Times New Roman"/>
          <w:sz w:val="24"/>
          <w:szCs w:val="24"/>
        </w:rPr>
        <w:t>The five scenarios are:</w:t>
      </w:r>
    </w:p>
    <w:p w:rsidR="00EA65D9" w:rsidRPr="00E45589" w:rsidRDefault="00EA65D9" w:rsidP="00EA65D9">
      <w:pPr>
        <w:pStyle w:val="ListParagraph"/>
        <w:numPr>
          <w:ilvl w:val="0"/>
          <w:numId w:val="24"/>
        </w:numPr>
        <w:rPr>
          <w:rFonts w:ascii="Times New Roman" w:hAnsi="Times New Roman"/>
          <w:sz w:val="24"/>
          <w:szCs w:val="24"/>
        </w:rPr>
      </w:pPr>
      <w:r w:rsidRPr="00E45589">
        <w:rPr>
          <w:rFonts w:ascii="Times New Roman" w:hAnsi="Times New Roman"/>
          <w:sz w:val="24"/>
          <w:szCs w:val="24"/>
        </w:rPr>
        <w:t>Mandatory Changes and Trended Medicaid Enrollment</w:t>
      </w:r>
      <w:r>
        <w:rPr>
          <w:rFonts w:ascii="Times New Roman" w:hAnsi="Times New Roman"/>
          <w:sz w:val="24"/>
          <w:szCs w:val="24"/>
        </w:rPr>
        <w:t xml:space="preserve"> due to ACA provisions</w:t>
      </w:r>
      <w:r w:rsidRPr="00E45589">
        <w:rPr>
          <w:rFonts w:ascii="Times New Roman" w:hAnsi="Times New Roman"/>
          <w:sz w:val="24"/>
          <w:szCs w:val="24"/>
        </w:rPr>
        <w:t>.</w:t>
      </w:r>
      <w:r>
        <w:rPr>
          <w:rFonts w:ascii="Times New Roman" w:hAnsi="Times New Roman"/>
          <w:sz w:val="24"/>
          <w:szCs w:val="24"/>
        </w:rPr>
        <w:t xml:space="preserve"> No Optional Expansion.</w:t>
      </w:r>
    </w:p>
    <w:p w:rsidR="00EA65D9" w:rsidRPr="004A294A" w:rsidRDefault="00EA65D9" w:rsidP="00EA65D9">
      <w:pPr>
        <w:pStyle w:val="ListParagraph"/>
        <w:numPr>
          <w:ilvl w:val="0"/>
          <w:numId w:val="24"/>
        </w:numPr>
        <w:rPr>
          <w:rFonts w:ascii="Times New Roman" w:hAnsi="Times New Roman"/>
          <w:sz w:val="24"/>
          <w:szCs w:val="24"/>
        </w:rPr>
      </w:pPr>
      <w:r w:rsidRPr="004A294A">
        <w:rPr>
          <w:rFonts w:ascii="Times New Roman" w:hAnsi="Times New Roman"/>
          <w:sz w:val="24"/>
          <w:szCs w:val="24"/>
        </w:rPr>
        <w:t>Optional Expansion</w:t>
      </w:r>
      <w:r>
        <w:rPr>
          <w:rFonts w:ascii="Times New Roman" w:hAnsi="Times New Roman"/>
          <w:sz w:val="24"/>
          <w:szCs w:val="24"/>
        </w:rPr>
        <w:t xml:space="preserve"> of Medicaid</w:t>
      </w:r>
      <w:r w:rsidRPr="004A294A">
        <w:rPr>
          <w:rFonts w:ascii="Times New Roman" w:hAnsi="Times New Roman"/>
          <w:sz w:val="24"/>
          <w:szCs w:val="24"/>
        </w:rPr>
        <w:t xml:space="preserve"> to 138%</w:t>
      </w:r>
      <w:r>
        <w:rPr>
          <w:rFonts w:ascii="Times New Roman" w:hAnsi="Times New Roman"/>
          <w:sz w:val="24"/>
          <w:szCs w:val="24"/>
        </w:rPr>
        <w:t xml:space="preserve"> FPL with</w:t>
      </w:r>
      <w:r w:rsidRPr="004A294A">
        <w:rPr>
          <w:rFonts w:ascii="Times New Roman" w:hAnsi="Times New Roman"/>
          <w:sz w:val="24"/>
          <w:szCs w:val="24"/>
        </w:rPr>
        <w:t xml:space="preserve"> Traditional Medicaid Benefits</w:t>
      </w:r>
      <w:r>
        <w:rPr>
          <w:rFonts w:ascii="Times New Roman" w:hAnsi="Times New Roman"/>
          <w:sz w:val="24"/>
          <w:szCs w:val="24"/>
        </w:rPr>
        <w:t>,</w:t>
      </w:r>
    </w:p>
    <w:p w:rsidR="00EA65D9" w:rsidRPr="004A294A" w:rsidRDefault="00EA65D9" w:rsidP="00EA65D9">
      <w:pPr>
        <w:pStyle w:val="ListParagraph"/>
        <w:numPr>
          <w:ilvl w:val="0"/>
          <w:numId w:val="24"/>
        </w:numPr>
        <w:rPr>
          <w:rFonts w:ascii="Times New Roman" w:hAnsi="Times New Roman"/>
          <w:sz w:val="24"/>
          <w:szCs w:val="24"/>
        </w:rPr>
      </w:pPr>
      <w:r w:rsidRPr="004A294A">
        <w:rPr>
          <w:rFonts w:ascii="Times New Roman" w:hAnsi="Times New Roman"/>
          <w:sz w:val="24"/>
          <w:szCs w:val="24"/>
        </w:rPr>
        <w:t>Optional Expansion</w:t>
      </w:r>
      <w:r>
        <w:rPr>
          <w:rFonts w:ascii="Times New Roman" w:hAnsi="Times New Roman"/>
          <w:sz w:val="24"/>
          <w:szCs w:val="24"/>
        </w:rPr>
        <w:t xml:space="preserve"> of Medicaid</w:t>
      </w:r>
      <w:r w:rsidRPr="004A294A">
        <w:rPr>
          <w:rFonts w:ascii="Times New Roman" w:hAnsi="Times New Roman"/>
          <w:sz w:val="24"/>
          <w:szCs w:val="24"/>
        </w:rPr>
        <w:t xml:space="preserve"> to 138%</w:t>
      </w:r>
      <w:r>
        <w:rPr>
          <w:rFonts w:ascii="Times New Roman" w:hAnsi="Times New Roman"/>
          <w:sz w:val="24"/>
          <w:szCs w:val="24"/>
        </w:rPr>
        <w:t xml:space="preserve"> FPL with modeled</w:t>
      </w:r>
      <w:r w:rsidRPr="004A294A">
        <w:rPr>
          <w:rFonts w:ascii="Times New Roman" w:hAnsi="Times New Roman"/>
          <w:sz w:val="24"/>
          <w:szCs w:val="24"/>
        </w:rPr>
        <w:t xml:space="preserve"> Essential Health Benefits</w:t>
      </w:r>
      <w:r>
        <w:rPr>
          <w:rFonts w:ascii="Times New Roman" w:hAnsi="Times New Roman"/>
          <w:sz w:val="24"/>
          <w:szCs w:val="24"/>
        </w:rPr>
        <w:t>,</w:t>
      </w:r>
    </w:p>
    <w:p w:rsidR="00EA65D9" w:rsidRPr="004A294A" w:rsidRDefault="00EA65D9" w:rsidP="00EA65D9">
      <w:pPr>
        <w:pStyle w:val="ListParagraph"/>
        <w:numPr>
          <w:ilvl w:val="0"/>
          <w:numId w:val="24"/>
        </w:numPr>
        <w:rPr>
          <w:rFonts w:ascii="Times New Roman" w:hAnsi="Times New Roman"/>
          <w:sz w:val="24"/>
          <w:szCs w:val="24"/>
        </w:rPr>
      </w:pPr>
      <w:r w:rsidRPr="004A294A">
        <w:rPr>
          <w:rFonts w:ascii="Times New Roman" w:hAnsi="Times New Roman"/>
          <w:sz w:val="24"/>
          <w:szCs w:val="24"/>
        </w:rPr>
        <w:t>Optional Expansion to 100%</w:t>
      </w:r>
      <w:r>
        <w:rPr>
          <w:rFonts w:ascii="Times New Roman" w:hAnsi="Times New Roman"/>
          <w:sz w:val="24"/>
          <w:szCs w:val="24"/>
        </w:rPr>
        <w:t xml:space="preserve"> FPL with</w:t>
      </w:r>
      <w:r w:rsidRPr="004A294A">
        <w:rPr>
          <w:rFonts w:ascii="Times New Roman" w:hAnsi="Times New Roman"/>
          <w:sz w:val="24"/>
          <w:szCs w:val="24"/>
        </w:rPr>
        <w:t xml:space="preserve"> Traditional Medicaid Benefits</w:t>
      </w:r>
      <w:r>
        <w:rPr>
          <w:rFonts w:ascii="Times New Roman" w:hAnsi="Times New Roman"/>
          <w:sz w:val="24"/>
          <w:szCs w:val="24"/>
        </w:rPr>
        <w:t>,</w:t>
      </w:r>
    </w:p>
    <w:p w:rsidR="00EA65D9" w:rsidRPr="004A294A" w:rsidRDefault="00EA65D9" w:rsidP="00EA65D9">
      <w:pPr>
        <w:pStyle w:val="ListParagraph"/>
        <w:numPr>
          <w:ilvl w:val="0"/>
          <w:numId w:val="24"/>
        </w:numPr>
        <w:rPr>
          <w:rFonts w:ascii="Times New Roman" w:hAnsi="Times New Roman"/>
          <w:sz w:val="24"/>
          <w:szCs w:val="24"/>
        </w:rPr>
      </w:pPr>
      <w:r w:rsidRPr="004A294A">
        <w:rPr>
          <w:rFonts w:ascii="Times New Roman" w:hAnsi="Times New Roman"/>
          <w:sz w:val="24"/>
          <w:szCs w:val="24"/>
        </w:rPr>
        <w:t>Optional Expansion to 100%</w:t>
      </w:r>
      <w:r>
        <w:rPr>
          <w:rFonts w:ascii="Times New Roman" w:hAnsi="Times New Roman"/>
          <w:sz w:val="24"/>
          <w:szCs w:val="24"/>
        </w:rPr>
        <w:t xml:space="preserve"> with modeled </w:t>
      </w:r>
      <w:r w:rsidRPr="004A294A">
        <w:rPr>
          <w:rFonts w:ascii="Times New Roman" w:hAnsi="Times New Roman"/>
          <w:sz w:val="24"/>
          <w:szCs w:val="24"/>
        </w:rPr>
        <w:t>Essential Health Benefits</w:t>
      </w:r>
      <w:r>
        <w:rPr>
          <w:rFonts w:ascii="Times New Roman" w:hAnsi="Times New Roman"/>
          <w:sz w:val="24"/>
          <w:szCs w:val="24"/>
        </w:rPr>
        <w:t>, and</w:t>
      </w:r>
    </w:p>
    <w:p w:rsidR="00EA7A8D" w:rsidRDefault="00EA7A8D" w:rsidP="00A06956">
      <w:pPr>
        <w:spacing w:after="0"/>
        <w:rPr>
          <w:rFonts w:ascii="Times New Roman" w:hAnsi="Times New Roman"/>
          <w:sz w:val="24"/>
          <w:szCs w:val="24"/>
        </w:rPr>
      </w:pPr>
    </w:p>
    <w:p w:rsidR="00EA7A8D" w:rsidRDefault="00EA7A8D" w:rsidP="00A06956">
      <w:pPr>
        <w:spacing w:after="0"/>
        <w:rPr>
          <w:rFonts w:ascii="Times New Roman" w:hAnsi="Times New Roman"/>
          <w:sz w:val="24"/>
          <w:szCs w:val="24"/>
        </w:rPr>
      </w:pPr>
    </w:p>
    <w:p w:rsidR="00EA7A8D" w:rsidRDefault="00EA7A8D" w:rsidP="00A06956">
      <w:pPr>
        <w:spacing w:after="0"/>
        <w:rPr>
          <w:rFonts w:ascii="Times New Roman" w:hAnsi="Times New Roman"/>
          <w:sz w:val="24"/>
          <w:szCs w:val="24"/>
        </w:rPr>
      </w:pPr>
    </w:p>
    <w:p w:rsidR="00EA7A8D" w:rsidRDefault="00EA7A8D" w:rsidP="00A06956">
      <w:pPr>
        <w:spacing w:after="0"/>
        <w:rPr>
          <w:rFonts w:ascii="Times New Roman" w:hAnsi="Times New Roman"/>
          <w:sz w:val="24"/>
          <w:szCs w:val="24"/>
        </w:rPr>
      </w:pPr>
    </w:p>
    <w:p w:rsidR="00EA7A8D" w:rsidRDefault="00EA7A8D" w:rsidP="00A06956">
      <w:pPr>
        <w:spacing w:after="0"/>
        <w:rPr>
          <w:rFonts w:ascii="Times New Roman" w:hAnsi="Times New Roman"/>
          <w:sz w:val="24"/>
          <w:szCs w:val="24"/>
        </w:rPr>
      </w:pPr>
    </w:p>
    <w:p w:rsidR="00EA7A8D" w:rsidRDefault="00EA7A8D" w:rsidP="00A06956">
      <w:pPr>
        <w:spacing w:after="0"/>
        <w:rPr>
          <w:rFonts w:ascii="Times New Roman" w:hAnsi="Times New Roman"/>
          <w:sz w:val="24"/>
          <w:szCs w:val="24"/>
        </w:rPr>
      </w:pPr>
    </w:p>
    <w:p w:rsidR="00EA7A8D" w:rsidRDefault="00EA7A8D" w:rsidP="00A06956">
      <w:pPr>
        <w:spacing w:after="0"/>
        <w:rPr>
          <w:rFonts w:ascii="Times New Roman" w:hAnsi="Times New Roman"/>
          <w:sz w:val="24"/>
          <w:szCs w:val="24"/>
        </w:rPr>
      </w:pPr>
    </w:p>
    <w:p w:rsidR="00EA7A8D" w:rsidRDefault="00EA7A8D" w:rsidP="00A06956">
      <w:pPr>
        <w:spacing w:after="0"/>
        <w:rPr>
          <w:rFonts w:ascii="Times New Roman" w:hAnsi="Times New Roman"/>
          <w:sz w:val="24"/>
          <w:szCs w:val="24"/>
        </w:rPr>
      </w:pPr>
    </w:p>
    <w:p w:rsidR="00DE0AD0" w:rsidRDefault="00DE0AD0" w:rsidP="00A06956">
      <w:pPr>
        <w:spacing w:after="0"/>
        <w:rPr>
          <w:rFonts w:ascii="Times New Roman" w:hAnsi="Times New Roman"/>
          <w:sz w:val="24"/>
          <w:szCs w:val="24"/>
        </w:rPr>
      </w:pPr>
      <w:r>
        <w:rPr>
          <w:rFonts w:ascii="Times New Roman" w:hAnsi="Times New Roman"/>
          <w:sz w:val="24"/>
          <w:szCs w:val="24"/>
        </w:rPr>
        <w:lastRenderedPageBreak/>
        <w:t xml:space="preserve">The following chart summarizes the </w:t>
      </w:r>
      <w:r w:rsidR="00EA65D9">
        <w:rPr>
          <w:rFonts w:ascii="Times New Roman" w:hAnsi="Times New Roman"/>
          <w:sz w:val="24"/>
          <w:szCs w:val="24"/>
        </w:rPr>
        <w:t>modeling</w:t>
      </w:r>
      <w:r>
        <w:rPr>
          <w:rFonts w:ascii="Times New Roman" w:hAnsi="Times New Roman"/>
          <w:sz w:val="24"/>
          <w:szCs w:val="24"/>
        </w:rPr>
        <w:t xml:space="preserve"> of each of these scenario</w:t>
      </w:r>
      <w:r w:rsidR="00EA65D9">
        <w:rPr>
          <w:rFonts w:ascii="Times New Roman" w:hAnsi="Times New Roman"/>
          <w:sz w:val="24"/>
          <w:szCs w:val="24"/>
        </w:rPr>
        <w:t>s</w:t>
      </w:r>
      <w:r w:rsidR="008609A0">
        <w:rPr>
          <w:rFonts w:ascii="Times New Roman" w:hAnsi="Times New Roman"/>
          <w:sz w:val="24"/>
          <w:szCs w:val="24"/>
        </w:rPr>
        <w:t xml:space="preserve"> with Scenario 1’s results added to each other scenario</w:t>
      </w:r>
      <w:r w:rsidR="00EA65D9">
        <w:rPr>
          <w:rFonts w:ascii="Times New Roman" w:hAnsi="Times New Roman"/>
          <w:sz w:val="24"/>
          <w:szCs w:val="24"/>
        </w:rPr>
        <w:t>.</w:t>
      </w:r>
      <w:r>
        <w:rPr>
          <w:rFonts w:ascii="Times New Roman" w:hAnsi="Times New Roman"/>
          <w:sz w:val="24"/>
          <w:szCs w:val="24"/>
        </w:rPr>
        <w:t xml:space="preserve"> </w:t>
      </w:r>
    </w:p>
    <w:p w:rsidR="0085466F" w:rsidRDefault="0085466F" w:rsidP="00A06956">
      <w:pPr>
        <w:spacing w:after="0"/>
        <w:rPr>
          <w:rFonts w:ascii="Times New Roman" w:hAnsi="Times New Roman"/>
          <w:sz w:val="24"/>
          <w:szCs w:val="24"/>
        </w:rPr>
      </w:pPr>
    </w:p>
    <w:p w:rsidR="00DE0AD0" w:rsidRDefault="00E549BD" w:rsidP="00A06956">
      <w:pPr>
        <w:spacing w:after="0"/>
        <w:rPr>
          <w:noProof/>
          <w:szCs w:val="24"/>
          <w:lang w:eastAsia="en-US"/>
        </w:rPr>
      </w:pPr>
      <w:r w:rsidRPr="00E549BD">
        <w:rPr>
          <w:noProof/>
          <w:szCs w:val="24"/>
          <w:lang w:eastAsia="en-US"/>
        </w:rPr>
        <w:drawing>
          <wp:inline distT="0" distB="0" distL="0" distR="0">
            <wp:extent cx="5943600" cy="1631713"/>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943600" cy="1631713"/>
                    </a:xfrm>
                    <a:prstGeom prst="rect">
                      <a:avLst/>
                    </a:prstGeom>
                    <a:noFill/>
                    <a:ln w="9525">
                      <a:noFill/>
                      <a:miter lim="800000"/>
                      <a:headEnd/>
                      <a:tailEnd/>
                    </a:ln>
                  </pic:spPr>
                </pic:pic>
              </a:graphicData>
            </a:graphic>
          </wp:inline>
        </w:drawing>
      </w:r>
    </w:p>
    <w:p w:rsidR="0085466F" w:rsidRDefault="0085466F" w:rsidP="00A06956">
      <w:pPr>
        <w:spacing w:after="0"/>
        <w:rPr>
          <w:noProof/>
          <w:szCs w:val="24"/>
          <w:lang w:eastAsia="en-US"/>
        </w:rPr>
      </w:pPr>
    </w:p>
    <w:p w:rsidR="00DE0AD0" w:rsidRPr="00945E0B" w:rsidRDefault="00E51AF6" w:rsidP="00CE63C2">
      <w:pPr>
        <w:rPr>
          <w:rFonts w:ascii="Times New Roman" w:hAnsi="Times New Roman"/>
          <w:sz w:val="24"/>
          <w:szCs w:val="24"/>
        </w:rPr>
      </w:pPr>
      <w:r>
        <w:rPr>
          <w:rFonts w:ascii="Times New Roman" w:hAnsi="Times New Roman"/>
          <w:sz w:val="24"/>
          <w:szCs w:val="24"/>
        </w:rPr>
        <w:t>Scenario 1</w:t>
      </w:r>
      <w:r w:rsidR="00CE63C2" w:rsidRPr="00945E0B">
        <w:rPr>
          <w:rFonts w:ascii="Times New Roman" w:hAnsi="Times New Roman"/>
          <w:sz w:val="24"/>
          <w:szCs w:val="24"/>
        </w:rPr>
        <w:t xml:space="preserve"> shows that Utah will </w:t>
      </w:r>
      <w:r w:rsidR="00A26020">
        <w:rPr>
          <w:rFonts w:ascii="Times New Roman" w:hAnsi="Times New Roman"/>
          <w:sz w:val="24"/>
          <w:szCs w:val="24"/>
        </w:rPr>
        <w:t>bear</w:t>
      </w:r>
      <w:r w:rsidR="00CE63C2" w:rsidRPr="00945E0B">
        <w:rPr>
          <w:rFonts w:ascii="Times New Roman" w:hAnsi="Times New Roman"/>
          <w:sz w:val="24"/>
          <w:szCs w:val="24"/>
        </w:rPr>
        <w:t xml:space="preserve"> </w:t>
      </w:r>
      <w:r>
        <w:rPr>
          <w:rFonts w:ascii="Times New Roman" w:hAnsi="Times New Roman"/>
          <w:sz w:val="24"/>
          <w:szCs w:val="24"/>
        </w:rPr>
        <w:t>increased costs in its Medicaid program</w:t>
      </w:r>
      <w:r w:rsidR="00CE63C2" w:rsidRPr="00945E0B">
        <w:rPr>
          <w:rFonts w:ascii="Times New Roman" w:hAnsi="Times New Roman"/>
          <w:sz w:val="24"/>
          <w:szCs w:val="24"/>
        </w:rPr>
        <w:t xml:space="preserve"> due to the mandatory expansion required by the ACA, as well as the woodwork effect.  </w:t>
      </w:r>
      <w:r>
        <w:rPr>
          <w:rFonts w:ascii="Times New Roman" w:hAnsi="Times New Roman"/>
          <w:sz w:val="24"/>
          <w:szCs w:val="24"/>
        </w:rPr>
        <w:t xml:space="preserve">After modeling these costs, </w:t>
      </w:r>
      <w:r w:rsidR="00CE63C2" w:rsidRPr="00945E0B">
        <w:rPr>
          <w:rFonts w:ascii="Times New Roman" w:hAnsi="Times New Roman"/>
          <w:sz w:val="24"/>
          <w:szCs w:val="24"/>
        </w:rPr>
        <w:t xml:space="preserve">PCG’s efforts </w:t>
      </w:r>
      <w:r>
        <w:rPr>
          <w:rFonts w:ascii="Times New Roman" w:hAnsi="Times New Roman"/>
          <w:sz w:val="24"/>
          <w:szCs w:val="24"/>
        </w:rPr>
        <w:t>focused on projecting</w:t>
      </w:r>
      <w:r w:rsidR="00CE63C2" w:rsidRPr="00945E0B">
        <w:rPr>
          <w:rFonts w:ascii="Times New Roman" w:hAnsi="Times New Roman"/>
          <w:sz w:val="24"/>
          <w:szCs w:val="24"/>
        </w:rPr>
        <w:t xml:space="preserve"> the costs and benefits </w:t>
      </w:r>
      <w:r w:rsidR="00A26020">
        <w:rPr>
          <w:rFonts w:ascii="Times New Roman" w:hAnsi="Times New Roman"/>
          <w:sz w:val="24"/>
          <w:szCs w:val="24"/>
        </w:rPr>
        <w:t xml:space="preserve">to the state </w:t>
      </w:r>
      <w:r w:rsidR="00CE63C2" w:rsidRPr="00945E0B">
        <w:rPr>
          <w:rFonts w:ascii="Times New Roman" w:hAnsi="Times New Roman"/>
          <w:sz w:val="24"/>
          <w:szCs w:val="24"/>
        </w:rPr>
        <w:t>of expanding Medicaid</w:t>
      </w:r>
      <w:r w:rsidR="00EA65D9">
        <w:rPr>
          <w:rFonts w:ascii="Times New Roman" w:hAnsi="Times New Roman"/>
          <w:sz w:val="24"/>
          <w:szCs w:val="24"/>
        </w:rPr>
        <w:t xml:space="preserve"> under the optional scenarios, and then moved to public programs and other areas</w:t>
      </w:r>
      <w:r w:rsidR="00CE63C2" w:rsidRPr="00945E0B">
        <w:rPr>
          <w:rFonts w:ascii="Times New Roman" w:hAnsi="Times New Roman"/>
          <w:sz w:val="24"/>
          <w:szCs w:val="24"/>
        </w:rPr>
        <w:t xml:space="preserve"> beyond the </w:t>
      </w:r>
      <w:r>
        <w:rPr>
          <w:rFonts w:ascii="Times New Roman" w:hAnsi="Times New Roman"/>
          <w:sz w:val="24"/>
          <w:szCs w:val="24"/>
        </w:rPr>
        <w:t xml:space="preserve">mandatory </w:t>
      </w:r>
      <w:r w:rsidR="00CE63C2" w:rsidRPr="00945E0B">
        <w:rPr>
          <w:rFonts w:ascii="Times New Roman" w:hAnsi="Times New Roman"/>
          <w:sz w:val="24"/>
          <w:szCs w:val="24"/>
        </w:rPr>
        <w:t>expansion</w:t>
      </w:r>
      <w:r>
        <w:rPr>
          <w:rFonts w:ascii="Times New Roman" w:hAnsi="Times New Roman"/>
          <w:sz w:val="24"/>
          <w:szCs w:val="24"/>
        </w:rPr>
        <w:t xml:space="preserve"> and optional expansions</w:t>
      </w:r>
      <w:r w:rsidR="00CE63C2" w:rsidRPr="00945E0B">
        <w:rPr>
          <w:rFonts w:ascii="Times New Roman" w:hAnsi="Times New Roman"/>
          <w:sz w:val="24"/>
          <w:szCs w:val="24"/>
        </w:rPr>
        <w:t xml:space="preserve">. </w:t>
      </w:r>
      <w:r>
        <w:rPr>
          <w:rFonts w:ascii="Times New Roman" w:hAnsi="Times New Roman"/>
          <w:sz w:val="24"/>
          <w:szCs w:val="24"/>
        </w:rPr>
        <w:t xml:space="preserve">The modeled costs and benefits of those areas </w:t>
      </w:r>
      <w:r w:rsidR="00CE63C2" w:rsidRPr="00945E0B">
        <w:rPr>
          <w:rFonts w:ascii="Times New Roman" w:hAnsi="Times New Roman"/>
          <w:sz w:val="24"/>
          <w:szCs w:val="24"/>
        </w:rPr>
        <w:t xml:space="preserve">are included in the </w:t>
      </w:r>
      <w:r>
        <w:rPr>
          <w:rFonts w:ascii="Times New Roman" w:hAnsi="Times New Roman"/>
          <w:sz w:val="24"/>
          <w:szCs w:val="24"/>
        </w:rPr>
        <w:t xml:space="preserve">summary chart </w:t>
      </w:r>
      <w:r w:rsidR="00EA65D9">
        <w:rPr>
          <w:rFonts w:ascii="Times New Roman" w:hAnsi="Times New Roman"/>
          <w:sz w:val="24"/>
          <w:szCs w:val="24"/>
        </w:rPr>
        <w:t xml:space="preserve">above </w:t>
      </w:r>
      <w:r>
        <w:rPr>
          <w:rFonts w:ascii="Times New Roman" w:hAnsi="Times New Roman"/>
          <w:sz w:val="24"/>
          <w:szCs w:val="24"/>
        </w:rPr>
        <w:t>and in the balance sheets that follow, as well as explained in more detail in the following pages.</w:t>
      </w:r>
    </w:p>
    <w:p w:rsidR="00A5394E" w:rsidRPr="00945E0B" w:rsidRDefault="00A5394E" w:rsidP="00CE63C2">
      <w:pPr>
        <w:rPr>
          <w:rFonts w:ascii="Times New Roman" w:hAnsi="Times New Roman"/>
          <w:sz w:val="24"/>
          <w:szCs w:val="24"/>
        </w:rPr>
      </w:pPr>
      <w:r w:rsidRPr="00945E0B">
        <w:rPr>
          <w:rFonts w:ascii="Times New Roman" w:hAnsi="Times New Roman"/>
          <w:sz w:val="24"/>
          <w:szCs w:val="24"/>
        </w:rPr>
        <w:t>PCG has found that</w:t>
      </w:r>
      <w:r w:rsidR="00E51AF6">
        <w:rPr>
          <w:rFonts w:ascii="Times New Roman" w:hAnsi="Times New Roman"/>
          <w:sz w:val="24"/>
          <w:szCs w:val="24"/>
        </w:rPr>
        <w:t xml:space="preserve"> </w:t>
      </w:r>
      <w:r w:rsidRPr="00945E0B">
        <w:rPr>
          <w:rFonts w:ascii="Times New Roman" w:hAnsi="Times New Roman"/>
          <w:sz w:val="24"/>
          <w:szCs w:val="24"/>
        </w:rPr>
        <w:t>expanding Medicaid is modeled to have a</w:t>
      </w:r>
      <w:r w:rsidR="00E51AF6">
        <w:rPr>
          <w:rFonts w:ascii="Times New Roman" w:hAnsi="Times New Roman"/>
          <w:sz w:val="24"/>
          <w:szCs w:val="24"/>
        </w:rPr>
        <w:t>n overall</w:t>
      </w:r>
      <w:r w:rsidRPr="00945E0B">
        <w:rPr>
          <w:rFonts w:ascii="Times New Roman" w:hAnsi="Times New Roman"/>
          <w:sz w:val="24"/>
          <w:szCs w:val="24"/>
        </w:rPr>
        <w:t xml:space="preserve"> cost to the state.  This cost increase</w:t>
      </w:r>
      <w:r w:rsidR="00E51AF6">
        <w:rPr>
          <w:rFonts w:ascii="Times New Roman" w:hAnsi="Times New Roman"/>
          <w:sz w:val="24"/>
          <w:szCs w:val="24"/>
        </w:rPr>
        <w:t>s</w:t>
      </w:r>
      <w:r w:rsidRPr="00945E0B">
        <w:rPr>
          <w:rFonts w:ascii="Times New Roman" w:hAnsi="Times New Roman"/>
          <w:sz w:val="24"/>
          <w:szCs w:val="24"/>
        </w:rPr>
        <w:t xml:space="preserve"> over time as the Federal Financial Participation </w:t>
      </w:r>
      <w:r w:rsidR="00A26020">
        <w:rPr>
          <w:rFonts w:ascii="Times New Roman" w:hAnsi="Times New Roman"/>
          <w:sz w:val="24"/>
          <w:szCs w:val="24"/>
        </w:rPr>
        <w:t xml:space="preserve">(FFP) </w:t>
      </w:r>
      <w:r w:rsidRPr="00945E0B">
        <w:rPr>
          <w:rFonts w:ascii="Times New Roman" w:hAnsi="Times New Roman"/>
          <w:sz w:val="24"/>
          <w:szCs w:val="24"/>
        </w:rPr>
        <w:t>declines from covering 100% of the expansion population in 2014 to an eventual federal coverage of 90% of the costs</w:t>
      </w:r>
      <w:r w:rsidR="00E51AF6">
        <w:rPr>
          <w:rFonts w:ascii="Times New Roman" w:hAnsi="Times New Roman"/>
          <w:sz w:val="24"/>
          <w:szCs w:val="24"/>
        </w:rPr>
        <w:t xml:space="preserve"> in perpetuity</w:t>
      </w:r>
      <w:r w:rsidRPr="00945E0B">
        <w:rPr>
          <w:rFonts w:ascii="Times New Roman" w:hAnsi="Times New Roman"/>
          <w:sz w:val="24"/>
          <w:szCs w:val="24"/>
        </w:rPr>
        <w:t xml:space="preserve">.  The affect of the reduction of the federal cost sharing can be seen across the areas of this report.  It is most apparent in the optional scenario modeling for the full expansion to 138% FPL.  </w:t>
      </w:r>
      <w:r w:rsidR="00ED2713" w:rsidRPr="00945E0B">
        <w:rPr>
          <w:rFonts w:ascii="Times New Roman" w:hAnsi="Times New Roman"/>
          <w:sz w:val="24"/>
          <w:szCs w:val="24"/>
        </w:rPr>
        <w:t xml:space="preserve">PCG’s judgment is that enhanced cost sharing from the federal government will not be available for the partial expansion to 100% FPL, thus the current FMAP is applied here and no reduction is </w:t>
      </w:r>
      <w:r w:rsidR="00541C62">
        <w:rPr>
          <w:rFonts w:ascii="Times New Roman" w:hAnsi="Times New Roman"/>
          <w:sz w:val="24"/>
          <w:szCs w:val="24"/>
        </w:rPr>
        <w:t>seen</w:t>
      </w:r>
      <w:r w:rsidR="00ED2713" w:rsidRPr="00945E0B">
        <w:rPr>
          <w:rFonts w:ascii="Times New Roman" w:hAnsi="Times New Roman"/>
          <w:sz w:val="24"/>
          <w:szCs w:val="24"/>
        </w:rPr>
        <w:t>.</w:t>
      </w:r>
    </w:p>
    <w:p w:rsidR="00ED2713" w:rsidRPr="00945E0B" w:rsidRDefault="00A26020" w:rsidP="00CE63C2">
      <w:pPr>
        <w:rPr>
          <w:rFonts w:ascii="Times New Roman" w:hAnsi="Times New Roman"/>
          <w:sz w:val="24"/>
          <w:szCs w:val="24"/>
        </w:rPr>
      </w:pPr>
      <w:r>
        <w:rPr>
          <w:rFonts w:ascii="Times New Roman" w:hAnsi="Times New Roman"/>
          <w:sz w:val="24"/>
          <w:szCs w:val="24"/>
        </w:rPr>
        <w:t>The reduction in</w:t>
      </w:r>
      <w:r w:rsidR="00ED2713" w:rsidRPr="00945E0B">
        <w:rPr>
          <w:rFonts w:ascii="Times New Roman" w:hAnsi="Times New Roman"/>
          <w:sz w:val="24"/>
          <w:szCs w:val="24"/>
        </w:rPr>
        <w:t xml:space="preserve"> federal cost sharing is important beyond the pure expansion modeling.  For example, in behavioral health coverage the state is modeled to save money in the beginning </w:t>
      </w:r>
      <w:r w:rsidR="006E4520">
        <w:rPr>
          <w:rFonts w:ascii="Times New Roman" w:hAnsi="Times New Roman"/>
          <w:sz w:val="24"/>
          <w:szCs w:val="24"/>
        </w:rPr>
        <w:t xml:space="preserve">years of Medicaid expansion (if the optional expansion to 138% FPL takes place) </w:t>
      </w:r>
      <w:r w:rsidR="00ED2713" w:rsidRPr="00945E0B">
        <w:rPr>
          <w:rFonts w:ascii="Times New Roman" w:hAnsi="Times New Roman"/>
          <w:sz w:val="24"/>
          <w:szCs w:val="24"/>
        </w:rPr>
        <w:t>due the likely ability to move people receiving services from the state</w:t>
      </w:r>
      <w:r w:rsidR="006E4520">
        <w:rPr>
          <w:rFonts w:ascii="Times New Roman" w:hAnsi="Times New Roman"/>
          <w:sz w:val="24"/>
          <w:szCs w:val="24"/>
        </w:rPr>
        <w:t xml:space="preserve"> outside of Medicaid</w:t>
      </w:r>
      <w:r w:rsidR="00ED2713" w:rsidRPr="00945E0B">
        <w:rPr>
          <w:rFonts w:ascii="Times New Roman" w:hAnsi="Times New Roman"/>
          <w:sz w:val="24"/>
          <w:szCs w:val="24"/>
        </w:rPr>
        <w:t xml:space="preserve"> onto the Medicaid rolls.  However, the savings to current state </w:t>
      </w:r>
      <w:r w:rsidR="006E4520">
        <w:rPr>
          <w:rFonts w:ascii="Times New Roman" w:hAnsi="Times New Roman"/>
          <w:sz w:val="24"/>
          <w:szCs w:val="24"/>
        </w:rPr>
        <w:t xml:space="preserve">non-Medicaid </w:t>
      </w:r>
      <w:r w:rsidR="00ED2713" w:rsidRPr="00945E0B">
        <w:rPr>
          <w:rFonts w:ascii="Times New Roman" w:hAnsi="Times New Roman"/>
          <w:sz w:val="24"/>
          <w:szCs w:val="24"/>
        </w:rPr>
        <w:t xml:space="preserve">programs are eventually outweighed by the state’s portion of Medicaid </w:t>
      </w:r>
      <w:r w:rsidR="006E4520">
        <w:rPr>
          <w:rFonts w:ascii="Times New Roman" w:hAnsi="Times New Roman"/>
          <w:sz w:val="24"/>
          <w:szCs w:val="24"/>
        </w:rPr>
        <w:t>costs.</w:t>
      </w:r>
    </w:p>
    <w:p w:rsidR="00ED2713" w:rsidRPr="00945E0B" w:rsidRDefault="00ED2713" w:rsidP="00CE63C2">
      <w:pPr>
        <w:rPr>
          <w:rFonts w:ascii="Times New Roman" w:hAnsi="Times New Roman"/>
          <w:sz w:val="24"/>
          <w:szCs w:val="24"/>
        </w:rPr>
      </w:pPr>
      <w:r w:rsidRPr="00945E0B">
        <w:rPr>
          <w:rFonts w:ascii="Times New Roman" w:hAnsi="Times New Roman"/>
          <w:sz w:val="24"/>
          <w:szCs w:val="24"/>
        </w:rPr>
        <w:lastRenderedPageBreak/>
        <w:t xml:space="preserve">This affect is seen elsewhere, but not as dramatically.  Moving individuals from </w:t>
      </w:r>
      <w:r w:rsidR="006E4520">
        <w:rPr>
          <w:rFonts w:ascii="Times New Roman" w:hAnsi="Times New Roman"/>
          <w:sz w:val="24"/>
          <w:szCs w:val="24"/>
        </w:rPr>
        <w:t>h</w:t>
      </w:r>
      <w:r w:rsidRPr="00945E0B">
        <w:rPr>
          <w:rFonts w:ascii="Times New Roman" w:hAnsi="Times New Roman"/>
          <w:sz w:val="24"/>
          <w:szCs w:val="24"/>
        </w:rPr>
        <w:t xml:space="preserve">igh </w:t>
      </w:r>
      <w:r w:rsidR="006E4520">
        <w:rPr>
          <w:rFonts w:ascii="Times New Roman" w:hAnsi="Times New Roman"/>
          <w:sz w:val="24"/>
          <w:szCs w:val="24"/>
        </w:rPr>
        <w:t>r</w:t>
      </w:r>
      <w:r w:rsidRPr="00945E0B">
        <w:rPr>
          <w:rFonts w:ascii="Times New Roman" w:hAnsi="Times New Roman"/>
          <w:sz w:val="24"/>
          <w:szCs w:val="24"/>
        </w:rPr>
        <w:t xml:space="preserve">isk </w:t>
      </w:r>
      <w:r w:rsidR="006E4520">
        <w:rPr>
          <w:rFonts w:ascii="Times New Roman" w:hAnsi="Times New Roman"/>
          <w:sz w:val="24"/>
          <w:szCs w:val="24"/>
        </w:rPr>
        <w:t>p</w:t>
      </w:r>
      <w:r w:rsidRPr="00945E0B">
        <w:rPr>
          <w:rFonts w:ascii="Times New Roman" w:hAnsi="Times New Roman"/>
          <w:sz w:val="24"/>
          <w:szCs w:val="24"/>
        </w:rPr>
        <w:t xml:space="preserve">ools that offer coverage in the state to Medicaid is modeled to save the state money. However, these savings decrease as the state has to pay a higher percentage of the Medicaid expansion. </w:t>
      </w:r>
    </w:p>
    <w:p w:rsidR="007C32C7" w:rsidRPr="007C32C7" w:rsidRDefault="007C32C7" w:rsidP="007C32C7">
      <w:pPr>
        <w:rPr>
          <w:rFonts w:ascii="Times New Roman" w:hAnsi="Times New Roman"/>
          <w:sz w:val="24"/>
          <w:szCs w:val="24"/>
        </w:rPr>
      </w:pPr>
      <w:r>
        <w:rPr>
          <w:rFonts w:ascii="Times New Roman" w:hAnsi="Times New Roman"/>
          <w:sz w:val="24"/>
          <w:szCs w:val="24"/>
        </w:rPr>
        <w:t>Of note, t</w:t>
      </w:r>
      <w:r w:rsidRPr="007C32C7">
        <w:rPr>
          <w:rFonts w:ascii="Times New Roman" w:hAnsi="Times New Roman"/>
          <w:sz w:val="24"/>
          <w:szCs w:val="24"/>
        </w:rPr>
        <w:t>his report relies on state and public sources for its data.  The State of Utah provided a significant amount of data, including information from the Department of Human Services, Department of Workforce Services, Department of Health, and the Department of Corrections. Data from state agencies was supplemented with Utah specific data from public sources. Specifically the Current Population Survey (CPS), a function of the United States Census, the Medical Expenditure Panel Survey (MEPS), a function of the United States Department of Health and Human Services, and the Kaiser Family Foundation (Kaiser), a private entity.  Any errors in these data sources are replicated here without the knowledge or intention of PCG.</w:t>
      </w:r>
    </w:p>
    <w:p w:rsidR="00ED2713" w:rsidRPr="00945E0B" w:rsidRDefault="007C32C7" w:rsidP="007C32C7">
      <w:pPr>
        <w:rPr>
          <w:sz w:val="24"/>
          <w:szCs w:val="24"/>
        </w:rPr>
      </w:pPr>
      <w:r w:rsidRPr="007C32C7">
        <w:rPr>
          <w:rFonts w:ascii="Times New Roman" w:hAnsi="Times New Roman"/>
          <w:sz w:val="24"/>
          <w:szCs w:val="24"/>
        </w:rPr>
        <w:t xml:space="preserve"> The PCG Medicaid Expansion Simulation Model was created using PCG experience in forecasting Medicaid spending and caseloads. As with any forecast, uncertainty surrounds many of this report’s assumptions and projections.  Rather than a prediction of future costs, the results of this model are projections that are best used to begin a public discourse on the potential impacts of a Medicaid expansion in Utah.</w:t>
      </w:r>
    </w:p>
    <w:p w:rsidR="00C805F3" w:rsidRDefault="00C805F3">
      <w:pPr>
        <w:spacing w:after="0" w:line="240" w:lineRule="auto"/>
      </w:pPr>
      <w:r>
        <w:br w:type="page"/>
      </w:r>
    </w:p>
    <w:p w:rsidR="00F60B44" w:rsidRPr="00181A60" w:rsidRDefault="00F60B44" w:rsidP="00F60B44">
      <w:pPr>
        <w:spacing w:after="240"/>
        <w:rPr>
          <w:rFonts w:ascii="Times New Roman" w:hAnsi="Times New Roman"/>
          <w:sz w:val="24"/>
          <w:szCs w:val="24"/>
        </w:rPr>
      </w:pPr>
      <w:r w:rsidRPr="00F60B44">
        <w:rPr>
          <w:rFonts w:ascii="Times New Roman" w:hAnsi="Times New Roman"/>
          <w:b/>
          <w:color w:val="548DD4" w:themeColor="text2" w:themeTint="99"/>
          <w:sz w:val="28"/>
          <w:szCs w:val="24"/>
        </w:rPr>
        <w:lastRenderedPageBreak/>
        <w:t xml:space="preserve">Five Modeled Scenarios </w:t>
      </w:r>
      <w:r w:rsidR="00575C45">
        <w:rPr>
          <w:rFonts w:ascii="Times New Roman" w:hAnsi="Times New Roman"/>
          <w:b/>
          <w:color w:val="548DD4" w:themeColor="text2" w:themeTint="99"/>
          <w:sz w:val="28"/>
          <w:szCs w:val="24"/>
        </w:rPr>
        <w:t>Balance Sheets</w:t>
      </w:r>
    </w:p>
    <w:p w:rsidR="000E5B7A" w:rsidRDefault="000E5B7A" w:rsidP="000E5B7A">
      <w:pPr>
        <w:rPr>
          <w:rFonts w:ascii="Times New Roman" w:hAnsi="Times New Roman"/>
          <w:sz w:val="24"/>
          <w:szCs w:val="24"/>
        </w:rPr>
      </w:pPr>
      <w:r>
        <w:rPr>
          <w:rFonts w:ascii="Times New Roman" w:hAnsi="Times New Roman"/>
          <w:sz w:val="24"/>
          <w:szCs w:val="24"/>
        </w:rPr>
        <w:t xml:space="preserve">This report is intended to assist policy makers in the state of Utah in deciding whether or not to expand the state’s Medicaid program as mandated by the </w:t>
      </w:r>
      <w:r w:rsidR="00B77B32">
        <w:rPr>
          <w:rFonts w:ascii="Times New Roman" w:hAnsi="Times New Roman"/>
          <w:sz w:val="24"/>
          <w:szCs w:val="24"/>
        </w:rPr>
        <w:t>ACA</w:t>
      </w:r>
      <w:r>
        <w:rPr>
          <w:rFonts w:ascii="Times New Roman" w:hAnsi="Times New Roman"/>
          <w:sz w:val="24"/>
          <w:szCs w:val="24"/>
        </w:rPr>
        <w:t xml:space="preserve"> and made optional by the </w:t>
      </w:r>
      <w:r w:rsidR="00B77B32">
        <w:rPr>
          <w:rFonts w:ascii="Times New Roman" w:hAnsi="Times New Roman"/>
          <w:sz w:val="24"/>
          <w:szCs w:val="24"/>
        </w:rPr>
        <w:t>Supreme Court</w:t>
      </w:r>
      <w:r>
        <w:rPr>
          <w:rFonts w:ascii="Times New Roman" w:hAnsi="Times New Roman"/>
          <w:sz w:val="24"/>
          <w:szCs w:val="24"/>
        </w:rPr>
        <w:t xml:space="preserve">.  </w:t>
      </w:r>
    </w:p>
    <w:p w:rsidR="000E5B7A" w:rsidRDefault="00B77B32" w:rsidP="000E5B7A">
      <w:pPr>
        <w:rPr>
          <w:rFonts w:ascii="Times New Roman" w:hAnsi="Times New Roman"/>
          <w:sz w:val="24"/>
          <w:szCs w:val="24"/>
        </w:rPr>
      </w:pPr>
      <w:r>
        <w:rPr>
          <w:rFonts w:ascii="Times New Roman" w:hAnsi="Times New Roman"/>
          <w:sz w:val="24"/>
          <w:szCs w:val="24"/>
        </w:rPr>
        <w:t>G</w:t>
      </w:r>
      <w:r w:rsidR="000E5B7A">
        <w:rPr>
          <w:rFonts w:ascii="Times New Roman" w:hAnsi="Times New Roman"/>
          <w:sz w:val="24"/>
          <w:szCs w:val="24"/>
        </w:rPr>
        <w:t xml:space="preserve">iven the complexities </w:t>
      </w:r>
      <w:r>
        <w:rPr>
          <w:rFonts w:ascii="Times New Roman" w:hAnsi="Times New Roman"/>
          <w:sz w:val="24"/>
          <w:szCs w:val="24"/>
        </w:rPr>
        <w:t xml:space="preserve">and numerous </w:t>
      </w:r>
      <w:r w:rsidR="000E5B7A">
        <w:rPr>
          <w:rFonts w:ascii="Times New Roman" w:hAnsi="Times New Roman"/>
          <w:sz w:val="24"/>
          <w:szCs w:val="24"/>
        </w:rPr>
        <w:t xml:space="preserve">scenarios </w:t>
      </w:r>
      <w:r>
        <w:rPr>
          <w:rFonts w:ascii="Times New Roman" w:hAnsi="Times New Roman"/>
          <w:sz w:val="24"/>
          <w:szCs w:val="24"/>
        </w:rPr>
        <w:t xml:space="preserve">that can be </w:t>
      </w:r>
      <w:r w:rsidR="000E5B7A">
        <w:rPr>
          <w:rFonts w:ascii="Times New Roman" w:hAnsi="Times New Roman"/>
          <w:sz w:val="24"/>
          <w:szCs w:val="24"/>
        </w:rPr>
        <w:t>develop</w:t>
      </w:r>
      <w:r>
        <w:rPr>
          <w:rFonts w:ascii="Times New Roman" w:hAnsi="Times New Roman"/>
          <w:sz w:val="24"/>
          <w:szCs w:val="24"/>
        </w:rPr>
        <w:t xml:space="preserve">ed to this end, </w:t>
      </w:r>
      <w:r w:rsidR="000E5B7A">
        <w:rPr>
          <w:rFonts w:ascii="Times New Roman" w:hAnsi="Times New Roman"/>
          <w:sz w:val="24"/>
          <w:szCs w:val="24"/>
        </w:rPr>
        <w:t>PCG worked closely with state officials</w:t>
      </w:r>
      <w:r>
        <w:rPr>
          <w:rFonts w:ascii="Times New Roman" w:hAnsi="Times New Roman"/>
          <w:sz w:val="24"/>
          <w:szCs w:val="24"/>
        </w:rPr>
        <w:t xml:space="preserve"> </w:t>
      </w:r>
      <w:r w:rsidR="008736C0">
        <w:rPr>
          <w:rFonts w:ascii="Times New Roman" w:hAnsi="Times New Roman"/>
          <w:sz w:val="24"/>
          <w:szCs w:val="24"/>
        </w:rPr>
        <w:t xml:space="preserve">to </w:t>
      </w:r>
      <w:r>
        <w:rPr>
          <w:rFonts w:ascii="Times New Roman" w:hAnsi="Times New Roman"/>
          <w:sz w:val="24"/>
          <w:szCs w:val="24"/>
        </w:rPr>
        <w:t>find a way to simplify the way the data is presented.  It was decided to create f</w:t>
      </w:r>
      <w:r w:rsidR="000E5B7A">
        <w:rPr>
          <w:rFonts w:ascii="Times New Roman" w:hAnsi="Times New Roman"/>
          <w:sz w:val="24"/>
          <w:szCs w:val="24"/>
        </w:rPr>
        <w:t>ive different pictures of the potential future of Utah Medicaid</w:t>
      </w:r>
      <w:r>
        <w:rPr>
          <w:rFonts w:ascii="Times New Roman" w:hAnsi="Times New Roman"/>
          <w:sz w:val="24"/>
          <w:szCs w:val="24"/>
        </w:rPr>
        <w:t xml:space="preserve"> (and the subsequent impact on other sectors of the state) in completely modeled form</w:t>
      </w:r>
      <w:r w:rsidR="000E5B7A">
        <w:rPr>
          <w:rFonts w:ascii="Times New Roman" w:hAnsi="Times New Roman"/>
          <w:sz w:val="24"/>
          <w:szCs w:val="24"/>
        </w:rPr>
        <w:t xml:space="preserve">. The selected scenarios were chosen because they are viewed as the five most plausible directions in which the state </w:t>
      </w:r>
      <w:r w:rsidR="00930467">
        <w:rPr>
          <w:rFonts w:ascii="Times New Roman" w:hAnsi="Times New Roman"/>
          <w:sz w:val="24"/>
          <w:szCs w:val="24"/>
        </w:rPr>
        <w:t xml:space="preserve">may </w:t>
      </w:r>
      <w:r w:rsidR="000E5B7A">
        <w:rPr>
          <w:rFonts w:ascii="Times New Roman" w:hAnsi="Times New Roman"/>
          <w:sz w:val="24"/>
          <w:szCs w:val="24"/>
        </w:rPr>
        <w:t>move in terms of Medicaid expansion.  The five scenarios are:</w:t>
      </w:r>
    </w:p>
    <w:p w:rsidR="00E45589" w:rsidRPr="00E45589" w:rsidRDefault="00E45589" w:rsidP="00AE2696">
      <w:pPr>
        <w:pStyle w:val="ListParagraph"/>
        <w:numPr>
          <w:ilvl w:val="0"/>
          <w:numId w:val="31"/>
        </w:numPr>
        <w:rPr>
          <w:rFonts w:ascii="Times New Roman" w:hAnsi="Times New Roman"/>
          <w:sz w:val="24"/>
          <w:szCs w:val="24"/>
        </w:rPr>
      </w:pPr>
      <w:r w:rsidRPr="00E45589">
        <w:rPr>
          <w:rFonts w:ascii="Times New Roman" w:hAnsi="Times New Roman"/>
          <w:sz w:val="24"/>
          <w:szCs w:val="24"/>
        </w:rPr>
        <w:t>Mandatory Changes and Trended Medicaid Enrollment</w:t>
      </w:r>
      <w:r>
        <w:rPr>
          <w:rFonts w:ascii="Times New Roman" w:hAnsi="Times New Roman"/>
          <w:sz w:val="24"/>
          <w:szCs w:val="24"/>
        </w:rPr>
        <w:t xml:space="preserve"> due to ACA provisions</w:t>
      </w:r>
      <w:r w:rsidRPr="00E45589">
        <w:rPr>
          <w:rFonts w:ascii="Times New Roman" w:hAnsi="Times New Roman"/>
          <w:sz w:val="24"/>
          <w:szCs w:val="24"/>
        </w:rPr>
        <w:t>.</w:t>
      </w:r>
      <w:r>
        <w:rPr>
          <w:rFonts w:ascii="Times New Roman" w:hAnsi="Times New Roman"/>
          <w:sz w:val="24"/>
          <w:szCs w:val="24"/>
        </w:rPr>
        <w:t xml:space="preserve"> No Optional Expansion.</w:t>
      </w:r>
    </w:p>
    <w:p w:rsidR="000E5B7A" w:rsidRPr="004A294A" w:rsidRDefault="000E5B7A" w:rsidP="00AE2696">
      <w:pPr>
        <w:pStyle w:val="ListParagraph"/>
        <w:numPr>
          <w:ilvl w:val="0"/>
          <w:numId w:val="31"/>
        </w:numPr>
        <w:rPr>
          <w:rFonts w:ascii="Times New Roman" w:hAnsi="Times New Roman"/>
          <w:sz w:val="24"/>
          <w:szCs w:val="24"/>
        </w:rPr>
      </w:pPr>
      <w:r w:rsidRPr="004A294A">
        <w:rPr>
          <w:rFonts w:ascii="Times New Roman" w:hAnsi="Times New Roman"/>
          <w:sz w:val="24"/>
          <w:szCs w:val="24"/>
        </w:rPr>
        <w:t>Optional Expansion</w:t>
      </w:r>
      <w:r>
        <w:rPr>
          <w:rFonts w:ascii="Times New Roman" w:hAnsi="Times New Roman"/>
          <w:sz w:val="24"/>
          <w:szCs w:val="24"/>
        </w:rPr>
        <w:t xml:space="preserve"> of Medicaid</w:t>
      </w:r>
      <w:r w:rsidRPr="004A294A">
        <w:rPr>
          <w:rFonts w:ascii="Times New Roman" w:hAnsi="Times New Roman"/>
          <w:sz w:val="24"/>
          <w:szCs w:val="24"/>
        </w:rPr>
        <w:t xml:space="preserve"> to 138%</w:t>
      </w:r>
      <w:r>
        <w:rPr>
          <w:rFonts w:ascii="Times New Roman" w:hAnsi="Times New Roman"/>
          <w:sz w:val="24"/>
          <w:szCs w:val="24"/>
        </w:rPr>
        <w:t xml:space="preserve"> FPL with</w:t>
      </w:r>
      <w:r w:rsidRPr="004A294A">
        <w:rPr>
          <w:rFonts w:ascii="Times New Roman" w:hAnsi="Times New Roman"/>
          <w:sz w:val="24"/>
          <w:szCs w:val="24"/>
        </w:rPr>
        <w:t xml:space="preserve"> Traditional Medicaid Benefits</w:t>
      </w:r>
      <w:r w:rsidR="00930467">
        <w:rPr>
          <w:rFonts w:ascii="Times New Roman" w:hAnsi="Times New Roman"/>
          <w:sz w:val="24"/>
          <w:szCs w:val="24"/>
        </w:rPr>
        <w:t>,</w:t>
      </w:r>
    </w:p>
    <w:p w:rsidR="000E5B7A" w:rsidRPr="004A294A" w:rsidRDefault="000E5B7A" w:rsidP="00AE2696">
      <w:pPr>
        <w:pStyle w:val="ListParagraph"/>
        <w:numPr>
          <w:ilvl w:val="0"/>
          <w:numId w:val="31"/>
        </w:numPr>
        <w:rPr>
          <w:rFonts w:ascii="Times New Roman" w:hAnsi="Times New Roman"/>
          <w:sz w:val="24"/>
          <w:szCs w:val="24"/>
        </w:rPr>
      </w:pPr>
      <w:r w:rsidRPr="004A294A">
        <w:rPr>
          <w:rFonts w:ascii="Times New Roman" w:hAnsi="Times New Roman"/>
          <w:sz w:val="24"/>
          <w:szCs w:val="24"/>
        </w:rPr>
        <w:t>Optional Expansion</w:t>
      </w:r>
      <w:r>
        <w:rPr>
          <w:rFonts w:ascii="Times New Roman" w:hAnsi="Times New Roman"/>
          <w:sz w:val="24"/>
          <w:szCs w:val="24"/>
        </w:rPr>
        <w:t xml:space="preserve"> of Medicaid</w:t>
      </w:r>
      <w:r w:rsidRPr="004A294A">
        <w:rPr>
          <w:rFonts w:ascii="Times New Roman" w:hAnsi="Times New Roman"/>
          <w:sz w:val="24"/>
          <w:szCs w:val="24"/>
        </w:rPr>
        <w:t xml:space="preserve"> to 138%</w:t>
      </w:r>
      <w:r>
        <w:rPr>
          <w:rFonts w:ascii="Times New Roman" w:hAnsi="Times New Roman"/>
          <w:sz w:val="24"/>
          <w:szCs w:val="24"/>
        </w:rPr>
        <w:t xml:space="preserve"> FPL with modeled</w:t>
      </w:r>
      <w:r w:rsidRPr="004A294A">
        <w:rPr>
          <w:rFonts w:ascii="Times New Roman" w:hAnsi="Times New Roman"/>
          <w:sz w:val="24"/>
          <w:szCs w:val="24"/>
        </w:rPr>
        <w:t xml:space="preserve"> Essential Health Benefits</w:t>
      </w:r>
      <w:r w:rsidR="00930467">
        <w:rPr>
          <w:rFonts w:ascii="Times New Roman" w:hAnsi="Times New Roman"/>
          <w:sz w:val="24"/>
          <w:szCs w:val="24"/>
        </w:rPr>
        <w:t>,</w:t>
      </w:r>
    </w:p>
    <w:p w:rsidR="000E5B7A" w:rsidRPr="004A294A" w:rsidRDefault="000E5B7A" w:rsidP="00AE2696">
      <w:pPr>
        <w:pStyle w:val="ListParagraph"/>
        <w:numPr>
          <w:ilvl w:val="0"/>
          <w:numId w:val="31"/>
        </w:numPr>
        <w:rPr>
          <w:rFonts w:ascii="Times New Roman" w:hAnsi="Times New Roman"/>
          <w:sz w:val="24"/>
          <w:szCs w:val="24"/>
        </w:rPr>
      </w:pPr>
      <w:r w:rsidRPr="004A294A">
        <w:rPr>
          <w:rFonts w:ascii="Times New Roman" w:hAnsi="Times New Roman"/>
          <w:sz w:val="24"/>
          <w:szCs w:val="24"/>
        </w:rPr>
        <w:t>Optional Expansion to 100%</w:t>
      </w:r>
      <w:r>
        <w:rPr>
          <w:rFonts w:ascii="Times New Roman" w:hAnsi="Times New Roman"/>
          <w:sz w:val="24"/>
          <w:szCs w:val="24"/>
        </w:rPr>
        <w:t xml:space="preserve"> FPL with</w:t>
      </w:r>
      <w:r w:rsidRPr="004A294A">
        <w:rPr>
          <w:rFonts w:ascii="Times New Roman" w:hAnsi="Times New Roman"/>
          <w:sz w:val="24"/>
          <w:szCs w:val="24"/>
        </w:rPr>
        <w:t xml:space="preserve"> Traditional Medicaid Benefits</w:t>
      </w:r>
      <w:r w:rsidR="00930467">
        <w:rPr>
          <w:rFonts w:ascii="Times New Roman" w:hAnsi="Times New Roman"/>
          <w:sz w:val="24"/>
          <w:szCs w:val="24"/>
        </w:rPr>
        <w:t>,</w:t>
      </w:r>
    </w:p>
    <w:p w:rsidR="000E5B7A" w:rsidRPr="004A294A" w:rsidRDefault="000E5B7A" w:rsidP="00AE2696">
      <w:pPr>
        <w:pStyle w:val="ListParagraph"/>
        <w:numPr>
          <w:ilvl w:val="0"/>
          <w:numId w:val="31"/>
        </w:numPr>
        <w:rPr>
          <w:rFonts w:ascii="Times New Roman" w:hAnsi="Times New Roman"/>
          <w:sz w:val="24"/>
          <w:szCs w:val="24"/>
        </w:rPr>
      </w:pPr>
      <w:r w:rsidRPr="004A294A">
        <w:rPr>
          <w:rFonts w:ascii="Times New Roman" w:hAnsi="Times New Roman"/>
          <w:sz w:val="24"/>
          <w:szCs w:val="24"/>
        </w:rPr>
        <w:t>Optional Expansion to 100%</w:t>
      </w:r>
      <w:r>
        <w:rPr>
          <w:rFonts w:ascii="Times New Roman" w:hAnsi="Times New Roman"/>
          <w:sz w:val="24"/>
          <w:szCs w:val="24"/>
        </w:rPr>
        <w:t xml:space="preserve"> with modeled </w:t>
      </w:r>
      <w:r w:rsidRPr="004A294A">
        <w:rPr>
          <w:rFonts w:ascii="Times New Roman" w:hAnsi="Times New Roman"/>
          <w:sz w:val="24"/>
          <w:szCs w:val="24"/>
        </w:rPr>
        <w:t>Essential Health Benefits</w:t>
      </w:r>
      <w:r w:rsidR="00930467">
        <w:rPr>
          <w:rFonts w:ascii="Times New Roman" w:hAnsi="Times New Roman"/>
          <w:sz w:val="24"/>
          <w:szCs w:val="24"/>
        </w:rPr>
        <w:t>, and</w:t>
      </w:r>
    </w:p>
    <w:p w:rsidR="000E5B7A" w:rsidRDefault="000E5B7A" w:rsidP="000E5B7A">
      <w:pPr>
        <w:rPr>
          <w:rFonts w:ascii="Times New Roman" w:hAnsi="Times New Roman"/>
          <w:sz w:val="24"/>
          <w:szCs w:val="24"/>
        </w:rPr>
      </w:pPr>
      <w:r>
        <w:rPr>
          <w:rFonts w:ascii="Times New Roman" w:hAnsi="Times New Roman"/>
          <w:sz w:val="24"/>
          <w:szCs w:val="24"/>
        </w:rPr>
        <w:t xml:space="preserve">For each scenario, PCG has created balance sheets that present </w:t>
      </w:r>
      <w:r w:rsidR="00435D98">
        <w:rPr>
          <w:rFonts w:ascii="Times New Roman" w:hAnsi="Times New Roman"/>
          <w:sz w:val="24"/>
          <w:szCs w:val="24"/>
        </w:rPr>
        <w:t>the</w:t>
      </w:r>
      <w:r>
        <w:rPr>
          <w:rFonts w:ascii="Times New Roman" w:hAnsi="Times New Roman"/>
          <w:sz w:val="24"/>
          <w:szCs w:val="24"/>
        </w:rPr>
        <w:t xml:space="preserve"> complete modeled picture of the impact to the state of </w:t>
      </w:r>
      <w:r w:rsidR="00674E75">
        <w:rPr>
          <w:rFonts w:ascii="Times New Roman" w:hAnsi="Times New Roman"/>
          <w:sz w:val="24"/>
          <w:szCs w:val="24"/>
        </w:rPr>
        <w:t xml:space="preserve">each possible </w:t>
      </w:r>
      <w:r>
        <w:rPr>
          <w:rFonts w:ascii="Times New Roman" w:hAnsi="Times New Roman"/>
          <w:sz w:val="24"/>
          <w:szCs w:val="24"/>
        </w:rPr>
        <w:t xml:space="preserve">decision. </w:t>
      </w:r>
      <w:r w:rsidR="006E4520">
        <w:rPr>
          <w:rFonts w:ascii="Times New Roman" w:hAnsi="Times New Roman"/>
          <w:sz w:val="24"/>
          <w:szCs w:val="24"/>
        </w:rPr>
        <w:t xml:space="preserve"> For scenario one, which does not include the optional expansion, federal financial participation is assumed at 71.2% (as used elsewhere in this report).</w:t>
      </w:r>
      <w:r>
        <w:rPr>
          <w:rFonts w:ascii="Times New Roman" w:hAnsi="Times New Roman"/>
          <w:sz w:val="24"/>
          <w:szCs w:val="24"/>
        </w:rPr>
        <w:t xml:space="preserve"> For scenarios which present optional expansion taking place, the cost of providing the care to the modeled populations (with either full Medicaid or EHB packages) is presented along with the federal and state share of providing this care.  For the expansions up to 138% FPL, enhanced federal financial participation is assumed as </w:t>
      </w:r>
      <w:r w:rsidR="00E10A00">
        <w:rPr>
          <w:rFonts w:ascii="Times New Roman" w:hAnsi="Times New Roman"/>
          <w:sz w:val="24"/>
          <w:szCs w:val="24"/>
        </w:rPr>
        <w:t>allocated</w:t>
      </w:r>
      <w:r>
        <w:rPr>
          <w:rFonts w:ascii="Times New Roman" w:hAnsi="Times New Roman"/>
          <w:sz w:val="24"/>
          <w:szCs w:val="24"/>
        </w:rPr>
        <w:t xml:space="preserve"> in the ACA and discussed elsewhere in this report.  For the optional expansion up to 100% FPL, the modeled current Utah federal participation</w:t>
      </w:r>
      <w:r w:rsidR="00E10A00">
        <w:rPr>
          <w:rFonts w:ascii="Times New Roman" w:hAnsi="Times New Roman"/>
          <w:sz w:val="24"/>
          <w:szCs w:val="24"/>
        </w:rPr>
        <w:t xml:space="preserve"> rate (71.2%)</w:t>
      </w:r>
      <w:r>
        <w:rPr>
          <w:rFonts w:ascii="Times New Roman" w:hAnsi="Times New Roman"/>
          <w:sz w:val="24"/>
          <w:szCs w:val="24"/>
        </w:rPr>
        <w:t xml:space="preserve"> is assumed since the federal government has been clear that enhanced federal participation is not available to states that do not undertake full expansion.  </w:t>
      </w:r>
    </w:p>
    <w:p w:rsidR="00575C45" w:rsidRDefault="000E5B7A" w:rsidP="00575C45">
      <w:pPr>
        <w:rPr>
          <w:rFonts w:ascii="Times New Roman" w:hAnsi="Times New Roman"/>
          <w:sz w:val="24"/>
          <w:szCs w:val="24"/>
        </w:rPr>
      </w:pPr>
      <w:r>
        <w:rPr>
          <w:rFonts w:ascii="Times New Roman" w:hAnsi="Times New Roman"/>
          <w:sz w:val="24"/>
          <w:szCs w:val="24"/>
        </w:rPr>
        <w:t>After the cost of the expansion other costs (and/or financial benefits) to Utah are included in the balance sheet</w:t>
      </w:r>
      <w:r w:rsidR="00674E75">
        <w:rPr>
          <w:rFonts w:ascii="Times New Roman" w:hAnsi="Times New Roman"/>
          <w:sz w:val="24"/>
          <w:szCs w:val="24"/>
        </w:rPr>
        <w:t>s</w:t>
      </w:r>
      <w:r>
        <w:rPr>
          <w:rFonts w:ascii="Times New Roman" w:hAnsi="Times New Roman"/>
          <w:sz w:val="24"/>
          <w:szCs w:val="24"/>
        </w:rPr>
        <w:t xml:space="preserve">.  These costs include the administrative costs to state agencies of providing services to the increased client load, potential savings coming to the state from individuals gaining insurance and no longer </w:t>
      </w:r>
      <w:r w:rsidR="00CA697E">
        <w:rPr>
          <w:rFonts w:ascii="Times New Roman" w:hAnsi="Times New Roman"/>
          <w:sz w:val="24"/>
          <w:szCs w:val="24"/>
        </w:rPr>
        <w:t>generating</w:t>
      </w:r>
      <w:r>
        <w:rPr>
          <w:rFonts w:ascii="Times New Roman" w:hAnsi="Times New Roman"/>
          <w:sz w:val="24"/>
          <w:szCs w:val="24"/>
        </w:rPr>
        <w:t xml:space="preserve"> uncompensated care, savings or costs to current state public assistance programs, and finally any changes to the state’s medically needy program.</w:t>
      </w:r>
    </w:p>
    <w:p w:rsidR="006A27D3" w:rsidRDefault="00575C45" w:rsidP="00575C45">
      <w:pPr>
        <w:spacing w:after="0" w:line="240" w:lineRule="auto"/>
        <w:rPr>
          <w:rFonts w:ascii="Times New Roman" w:hAnsi="Times New Roman"/>
          <w:sz w:val="24"/>
          <w:szCs w:val="24"/>
        </w:rPr>
        <w:sectPr w:rsidR="006A27D3" w:rsidSect="00D221B0">
          <w:headerReference w:type="default" r:id="rId10"/>
          <w:footerReference w:type="default" r:id="rId11"/>
          <w:pgSz w:w="12240" w:h="15840"/>
          <w:pgMar w:top="576" w:right="1440" w:bottom="288" w:left="1440" w:header="720" w:footer="720" w:gutter="0"/>
          <w:cols w:space="720"/>
          <w:docGrid w:linePitch="360"/>
        </w:sectPr>
      </w:pPr>
      <w:r>
        <w:rPr>
          <w:rFonts w:ascii="Times New Roman" w:hAnsi="Times New Roman"/>
          <w:sz w:val="24"/>
          <w:szCs w:val="24"/>
        </w:rPr>
        <w:br w:type="page"/>
      </w:r>
    </w:p>
    <w:p w:rsidR="000E5B7A" w:rsidRDefault="000E5B7A" w:rsidP="000E5B7A">
      <w:pPr>
        <w:rPr>
          <w:rFonts w:ascii="Times New Roman" w:hAnsi="Times New Roman"/>
          <w:sz w:val="24"/>
          <w:szCs w:val="24"/>
        </w:rPr>
      </w:pPr>
    </w:p>
    <w:p w:rsidR="003C153C" w:rsidRDefault="000E5B7A" w:rsidP="0009664F">
      <w:pPr>
        <w:rPr>
          <w:rFonts w:ascii="Times New Roman" w:hAnsi="Times New Roman"/>
          <w:sz w:val="24"/>
          <w:szCs w:val="24"/>
        </w:rPr>
      </w:pPr>
      <w:r>
        <w:rPr>
          <w:rFonts w:ascii="Times New Roman" w:hAnsi="Times New Roman"/>
          <w:sz w:val="24"/>
          <w:szCs w:val="24"/>
        </w:rPr>
        <w:t xml:space="preserve">Thus, the balance sheets bring together all of these varying financial projections into one consolidated place for each of the five scenarios. The following narrative and charts describe and demonstrate this modeling activity in </w:t>
      </w:r>
      <w:r w:rsidR="0009664F">
        <w:rPr>
          <w:rFonts w:ascii="Times New Roman" w:hAnsi="Times New Roman"/>
          <w:sz w:val="24"/>
          <w:szCs w:val="24"/>
        </w:rPr>
        <w:t xml:space="preserve">detail.  </w:t>
      </w:r>
    </w:p>
    <w:p w:rsidR="006E4520" w:rsidRDefault="006E4520" w:rsidP="0009664F">
      <w:pPr>
        <w:rPr>
          <w:rFonts w:ascii="Times New Roman" w:hAnsi="Times New Roman"/>
          <w:sz w:val="24"/>
          <w:szCs w:val="24"/>
        </w:rPr>
      </w:pPr>
      <w:r>
        <w:rPr>
          <w:rFonts w:ascii="Times New Roman" w:hAnsi="Times New Roman"/>
          <w:sz w:val="24"/>
          <w:szCs w:val="24"/>
        </w:rPr>
        <w:t>The per member costs in this report assume the same cost sharing for expansion populations that exist in Utah Medicaid today.</w:t>
      </w:r>
    </w:p>
    <w:p w:rsidR="00412BA5" w:rsidRPr="00F97DA8" w:rsidRDefault="00412BA5" w:rsidP="0009664F">
      <w:pPr>
        <w:rPr>
          <w:rFonts w:ascii="Times New Roman" w:hAnsi="Times New Roman"/>
          <w:b/>
          <w:sz w:val="24"/>
          <w:szCs w:val="24"/>
        </w:rPr>
      </w:pPr>
      <w:r w:rsidRPr="00F97DA8">
        <w:rPr>
          <w:rFonts w:ascii="Times New Roman" w:hAnsi="Times New Roman"/>
          <w:b/>
          <w:sz w:val="24"/>
          <w:szCs w:val="24"/>
        </w:rPr>
        <w:t>How to read the Balance Sheets / Key Assumptions:</w:t>
      </w:r>
    </w:p>
    <w:p w:rsidR="00412BA5" w:rsidRDefault="00412BA5" w:rsidP="0009664F">
      <w:pPr>
        <w:rPr>
          <w:rFonts w:ascii="Times New Roman" w:hAnsi="Times New Roman"/>
          <w:sz w:val="24"/>
          <w:szCs w:val="24"/>
        </w:rPr>
      </w:pPr>
      <w:r>
        <w:rPr>
          <w:rFonts w:ascii="Times New Roman" w:hAnsi="Times New Roman"/>
          <w:sz w:val="24"/>
          <w:szCs w:val="24"/>
        </w:rPr>
        <w:t xml:space="preserve">The first chart in each balance sheet shows the cost of the Medicaid expansion being modeled, </w:t>
      </w:r>
      <w:r w:rsidR="00F97DA8">
        <w:rPr>
          <w:rFonts w:ascii="Times New Roman" w:hAnsi="Times New Roman"/>
          <w:sz w:val="24"/>
          <w:szCs w:val="24"/>
        </w:rPr>
        <w:t>next is</w:t>
      </w:r>
      <w:r>
        <w:rPr>
          <w:rFonts w:ascii="Times New Roman" w:hAnsi="Times New Roman"/>
          <w:sz w:val="24"/>
          <w:szCs w:val="24"/>
        </w:rPr>
        <w:t xml:space="preserve"> the modeled administrative costs of each expansion,</w:t>
      </w:r>
      <w:r w:rsidR="00F97DA8">
        <w:rPr>
          <w:rFonts w:ascii="Times New Roman" w:hAnsi="Times New Roman"/>
          <w:sz w:val="24"/>
          <w:szCs w:val="24"/>
        </w:rPr>
        <w:t xml:space="preserve"> and finally the potential assistance program costs / savings achieved.  </w:t>
      </w:r>
    </w:p>
    <w:p w:rsidR="00F97DA8" w:rsidRDefault="00F97DA8" w:rsidP="0009664F">
      <w:pPr>
        <w:rPr>
          <w:rFonts w:ascii="Times New Roman" w:hAnsi="Times New Roman"/>
          <w:sz w:val="24"/>
          <w:szCs w:val="24"/>
        </w:rPr>
      </w:pPr>
      <w:r>
        <w:rPr>
          <w:rFonts w:ascii="Times New Roman" w:hAnsi="Times New Roman"/>
          <w:sz w:val="24"/>
          <w:szCs w:val="24"/>
        </w:rPr>
        <w:t xml:space="preserve">The second chart shows modeled state and county revenue, from both increased taxes and the results of the IMPLAN model (detailed later in this report). The third chart shows the </w:t>
      </w:r>
      <w:r w:rsidR="00DC11B9">
        <w:rPr>
          <w:rFonts w:ascii="Times New Roman" w:hAnsi="Times New Roman"/>
          <w:sz w:val="24"/>
          <w:szCs w:val="24"/>
        </w:rPr>
        <w:t>modeled savings to the state from decreases in uncompensated care due to Medicaid expansion.</w:t>
      </w:r>
      <w:r w:rsidR="00EA717F">
        <w:rPr>
          <w:rFonts w:ascii="Times New Roman" w:hAnsi="Times New Roman"/>
          <w:sz w:val="24"/>
          <w:szCs w:val="24"/>
        </w:rPr>
        <w:t xml:space="preserve">  The Balance Sheets stand alone – the results of each of them are not inclusive of the results of Scenario 1 or any other scenario.</w:t>
      </w:r>
    </w:p>
    <w:p w:rsidR="00DC11B9" w:rsidRDefault="00DC11B9" w:rsidP="0009664F">
      <w:pPr>
        <w:rPr>
          <w:rFonts w:ascii="Times New Roman" w:hAnsi="Times New Roman"/>
          <w:sz w:val="24"/>
          <w:szCs w:val="24"/>
        </w:rPr>
      </w:pPr>
      <w:r>
        <w:rPr>
          <w:rFonts w:ascii="Times New Roman" w:hAnsi="Times New Roman"/>
          <w:sz w:val="24"/>
          <w:szCs w:val="24"/>
        </w:rPr>
        <w:t>Key Assumptions:</w:t>
      </w:r>
    </w:p>
    <w:p w:rsidR="00DC11B9" w:rsidRDefault="00DC11B9" w:rsidP="00DC11B9">
      <w:pPr>
        <w:pStyle w:val="ListParagraph"/>
        <w:numPr>
          <w:ilvl w:val="0"/>
          <w:numId w:val="32"/>
        </w:numPr>
        <w:rPr>
          <w:rFonts w:ascii="Times New Roman" w:hAnsi="Times New Roman"/>
          <w:sz w:val="24"/>
          <w:szCs w:val="24"/>
        </w:rPr>
      </w:pPr>
      <w:r>
        <w:rPr>
          <w:rFonts w:ascii="Times New Roman" w:hAnsi="Times New Roman"/>
          <w:sz w:val="24"/>
          <w:szCs w:val="24"/>
        </w:rPr>
        <w:t xml:space="preserve">The mandatory expansion in </w:t>
      </w:r>
      <w:r w:rsidRPr="00DC11B9">
        <w:rPr>
          <w:rFonts w:ascii="Times New Roman" w:hAnsi="Times New Roman"/>
          <w:sz w:val="24"/>
          <w:szCs w:val="24"/>
        </w:rPr>
        <w:t>Scenario 1</w:t>
      </w:r>
      <w:r>
        <w:rPr>
          <w:rFonts w:ascii="Times New Roman" w:hAnsi="Times New Roman"/>
          <w:sz w:val="24"/>
          <w:szCs w:val="24"/>
        </w:rPr>
        <w:t xml:space="preserve"> will have a nominal affect on public assistance savings and uncompensated care.  This is because the population is largely children, many of whom are currently on the state’s CHIP program</w:t>
      </w:r>
    </w:p>
    <w:p w:rsidR="00DC11B9" w:rsidRDefault="00DC11B9" w:rsidP="00DC11B9">
      <w:pPr>
        <w:pStyle w:val="ListParagraph"/>
        <w:numPr>
          <w:ilvl w:val="0"/>
          <w:numId w:val="32"/>
        </w:numPr>
        <w:rPr>
          <w:rFonts w:ascii="Times New Roman" w:hAnsi="Times New Roman"/>
          <w:sz w:val="24"/>
          <w:szCs w:val="24"/>
        </w:rPr>
      </w:pPr>
      <w:r>
        <w:rPr>
          <w:rFonts w:ascii="Times New Roman" w:hAnsi="Times New Roman"/>
          <w:sz w:val="24"/>
          <w:szCs w:val="24"/>
        </w:rPr>
        <w:t>The expansions in Scenarios 4 and 5 to 100% FPL will not receive enhanced federal cost sharing</w:t>
      </w:r>
    </w:p>
    <w:p w:rsidR="00DC11B9" w:rsidRDefault="00DC11B9" w:rsidP="00DC11B9">
      <w:pPr>
        <w:pStyle w:val="ListParagraph"/>
        <w:numPr>
          <w:ilvl w:val="0"/>
          <w:numId w:val="32"/>
        </w:numPr>
        <w:rPr>
          <w:rFonts w:ascii="Times New Roman" w:hAnsi="Times New Roman"/>
          <w:sz w:val="24"/>
          <w:szCs w:val="24"/>
        </w:rPr>
      </w:pPr>
      <w:r>
        <w:rPr>
          <w:rFonts w:ascii="Times New Roman" w:hAnsi="Times New Roman"/>
          <w:sz w:val="24"/>
          <w:szCs w:val="24"/>
        </w:rPr>
        <w:t>Public assistance savings in Scenarios 4 and 5 are modeled as a function of total populations at the respective poverty levels, inclusive of the insured, uninsured, and Medicaid populations.  This creates a discount percentage of 40.5% when moving from the 138 to the 100 FPL level</w:t>
      </w:r>
    </w:p>
    <w:p w:rsidR="00EE6E6C" w:rsidRDefault="00EE6E6C" w:rsidP="00DC11B9">
      <w:pPr>
        <w:pStyle w:val="ListParagraph"/>
        <w:numPr>
          <w:ilvl w:val="0"/>
          <w:numId w:val="32"/>
        </w:numPr>
        <w:rPr>
          <w:rFonts w:ascii="Times New Roman" w:hAnsi="Times New Roman"/>
          <w:sz w:val="24"/>
          <w:szCs w:val="24"/>
        </w:rPr>
      </w:pPr>
      <w:r>
        <w:rPr>
          <w:rFonts w:ascii="Times New Roman" w:hAnsi="Times New Roman"/>
          <w:sz w:val="24"/>
          <w:szCs w:val="24"/>
        </w:rPr>
        <w:t>Savings to the State / County represent Medicaid spending, administrative spending, and public program savings / costs that result from the increased benefits provided under Medicaid expansion.  Tax Revenue, IMPLAN results, and uncompensated care savings stand on their own.</w:t>
      </w:r>
    </w:p>
    <w:p w:rsidR="00DC11B9" w:rsidRPr="00DC11B9" w:rsidRDefault="00DC11B9" w:rsidP="00DC11B9">
      <w:pPr>
        <w:rPr>
          <w:rFonts w:ascii="Times New Roman" w:hAnsi="Times New Roman"/>
          <w:sz w:val="24"/>
          <w:szCs w:val="24"/>
        </w:rPr>
        <w:sectPr w:rsidR="00DC11B9" w:rsidRPr="00DC11B9" w:rsidSect="00575C45">
          <w:pgSz w:w="12240" w:h="15840"/>
          <w:pgMar w:top="576" w:right="1440" w:bottom="288" w:left="1440" w:header="720" w:footer="720" w:gutter="0"/>
          <w:cols w:space="720"/>
          <w:docGrid w:linePitch="360"/>
        </w:sectPr>
      </w:pPr>
      <w:r>
        <w:rPr>
          <w:rFonts w:ascii="Times New Roman" w:hAnsi="Times New Roman"/>
          <w:sz w:val="24"/>
          <w:szCs w:val="24"/>
        </w:rPr>
        <w:t>The data and assumptions that informed each area of the balance sheet can be found in the respective section of the following report.</w:t>
      </w:r>
    </w:p>
    <w:p w:rsidR="0001315A" w:rsidRPr="00770C38" w:rsidRDefault="0001315A" w:rsidP="0001315A">
      <w:pPr>
        <w:ind w:left="1170" w:hanging="1170"/>
        <w:rPr>
          <w:rFonts w:ascii="Times New Roman" w:hAnsi="Times New Roman"/>
          <w:b/>
          <w:sz w:val="24"/>
          <w:szCs w:val="24"/>
        </w:rPr>
      </w:pPr>
      <w:r w:rsidRPr="00770C38">
        <w:rPr>
          <w:rFonts w:ascii="Times New Roman" w:hAnsi="Times New Roman"/>
          <w:b/>
          <w:color w:val="548DD4" w:themeColor="text2" w:themeTint="99"/>
          <w:sz w:val="24"/>
          <w:szCs w:val="24"/>
        </w:rPr>
        <w:lastRenderedPageBreak/>
        <w:t xml:space="preserve">Scenario </w:t>
      </w:r>
      <w:r>
        <w:rPr>
          <w:rFonts w:ascii="Times New Roman" w:hAnsi="Times New Roman"/>
          <w:b/>
          <w:color w:val="548DD4" w:themeColor="text2" w:themeTint="99"/>
          <w:sz w:val="24"/>
          <w:szCs w:val="24"/>
        </w:rPr>
        <w:t>1</w:t>
      </w:r>
      <w:r w:rsidRPr="00770C38">
        <w:rPr>
          <w:rFonts w:ascii="Times New Roman" w:hAnsi="Times New Roman"/>
          <w:b/>
          <w:color w:val="548DD4" w:themeColor="text2" w:themeTint="99"/>
          <w:sz w:val="24"/>
          <w:szCs w:val="24"/>
        </w:rPr>
        <w:t xml:space="preserve">: </w:t>
      </w:r>
      <w:r>
        <w:rPr>
          <w:rFonts w:ascii="Times New Roman" w:hAnsi="Times New Roman"/>
          <w:b/>
          <w:sz w:val="24"/>
          <w:szCs w:val="24"/>
        </w:rPr>
        <w:t>No Optional Expansion, modeled Mandatory Changes and Trended Medicaid Enrollment</w:t>
      </w:r>
    </w:p>
    <w:p w:rsidR="00754063" w:rsidRDefault="0001315A" w:rsidP="0001315A">
      <w:pPr>
        <w:spacing w:after="0" w:line="240" w:lineRule="auto"/>
        <w:rPr>
          <w:rFonts w:ascii="Times New Roman" w:hAnsi="Times New Roman"/>
          <w:sz w:val="24"/>
          <w:szCs w:val="24"/>
        </w:rPr>
      </w:pPr>
      <w:r>
        <w:rPr>
          <w:rFonts w:ascii="Times New Roman" w:hAnsi="Times New Roman"/>
          <w:sz w:val="24"/>
          <w:szCs w:val="24"/>
        </w:rPr>
        <w:t xml:space="preserve">Scenario 1 assumes the State of Utah does not expand Medicaid. The impact will result from expected Medicaid enrollment increases due to mandatory eligibility changes and the woodwork effect (explained later in this report).  </w:t>
      </w:r>
      <w:r w:rsidR="007C710B">
        <w:rPr>
          <w:rFonts w:ascii="Times New Roman" w:hAnsi="Times New Roman"/>
          <w:sz w:val="24"/>
          <w:szCs w:val="24"/>
        </w:rPr>
        <w:t>Scenario 1’s population estimate was broken into three sets of numbers: a high estimate, a low estimate, and an average of the high and low estimates. The population estimate methodology is described in more detail in this report.  The average is used to model the costs and savings for all scenarios in the balance sheets but highs and lows are given to demonstrate the potential estimated variation both in the costs and population counts. Total population and cost estimates have been provided across differing time frames: six months, one year, three years and the ten years.  For each time period a total figure for that period has been provided in addition to an average annual estimate for that respective period.  Please note each time period is inclusive of the previous periods and each time frame can function independently.</w:t>
      </w:r>
      <w:r w:rsidR="00FB4985">
        <w:rPr>
          <w:rFonts w:ascii="Times New Roman" w:hAnsi="Times New Roman"/>
          <w:sz w:val="24"/>
          <w:szCs w:val="24"/>
        </w:rPr>
        <w:t xml:space="preserve"> </w:t>
      </w:r>
      <w:r>
        <w:rPr>
          <w:rFonts w:ascii="Times New Roman" w:hAnsi="Times New Roman"/>
          <w:sz w:val="24"/>
          <w:szCs w:val="24"/>
        </w:rPr>
        <w:t>The average is used to model the costs and savings for this scenario.</w:t>
      </w:r>
      <w:r w:rsidR="000E64AE">
        <w:rPr>
          <w:rFonts w:ascii="Times New Roman" w:hAnsi="Times New Roman"/>
          <w:sz w:val="24"/>
          <w:szCs w:val="24"/>
        </w:rPr>
        <w:t xml:space="preserve"> </w:t>
      </w:r>
    </w:p>
    <w:p w:rsidR="007C710B" w:rsidRDefault="007C710B" w:rsidP="0001315A">
      <w:pPr>
        <w:spacing w:after="0" w:line="240" w:lineRule="auto"/>
        <w:rPr>
          <w:rFonts w:ascii="Times New Roman" w:hAnsi="Times New Roman"/>
          <w:sz w:val="24"/>
          <w:szCs w:val="24"/>
        </w:rPr>
      </w:pPr>
    </w:p>
    <w:p w:rsidR="007C710B" w:rsidRDefault="007C710B" w:rsidP="0001315A">
      <w:pPr>
        <w:spacing w:after="0" w:line="240" w:lineRule="auto"/>
        <w:rPr>
          <w:rFonts w:ascii="Times New Roman" w:hAnsi="Times New Roman"/>
          <w:sz w:val="24"/>
          <w:szCs w:val="24"/>
        </w:rPr>
      </w:pPr>
      <w:r>
        <w:rPr>
          <w:rFonts w:ascii="Times New Roman" w:hAnsi="Times New Roman"/>
          <w:sz w:val="24"/>
          <w:szCs w:val="24"/>
        </w:rPr>
        <w:t xml:space="preserve">The line “CHIP Children” refers to children who will move from the state’s Children’s Health Insurance Program (CHIP) to the state’s Medicaid program due to the end of the asset </w:t>
      </w:r>
      <w:r w:rsidR="00541C62">
        <w:rPr>
          <w:rFonts w:ascii="Times New Roman" w:hAnsi="Times New Roman"/>
          <w:sz w:val="24"/>
          <w:szCs w:val="24"/>
        </w:rPr>
        <w:t xml:space="preserve">test </w:t>
      </w:r>
      <w:r>
        <w:rPr>
          <w:rFonts w:ascii="Times New Roman" w:hAnsi="Times New Roman"/>
          <w:sz w:val="24"/>
          <w:szCs w:val="24"/>
        </w:rPr>
        <w:t xml:space="preserve">for Medicaid </w:t>
      </w:r>
      <w:r w:rsidR="00E94CE0">
        <w:rPr>
          <w:rFonts w:ascii="Times New Roman" w:hAnsi="Times New Roman"/>
          <w:sz w:val="24"/>
          <w:szCs w:val="24"/>
        </w:rPr>
        <w:t>eligibility</w:t>
      </w:r>
      <w:r>
        <w:rPr>
          <w:rFonts w:ascii="Times New Roman" w:hAnsi="Times New Roman"/>
          <w:sz w:val="24"/>
          <w:szCs w:val="24"/>
        </w:rPr>
        <w:t xml:space="preserve"> </w:t>
      </w:r>
      <w:r w:rsidR="00541C62">
        <w:rPr>
          <w:rFonts w:ascii="Times New Roman" w:hAnsi="Times New Roman"/>
          <w:sz w:val="24"/>
          <w:szCs w:val="24"/>
        </w:rPr>
        <w:t xml:space="preserve">for children </w:t>
      </w:r>
      <w:r>
        <w:rPr>
          <w:rFonts w:ascii="Times New Roman" w:hAnsi="Times New Roman"/>
          <w:sz w:val="24"/>
          <w:szCs w:val="24"/>
        </w:rPr>
        <w:t>under the ACA.</w:t>
      </w:r>
    </w:p>
    <w:p w:rsidR="0001315A" w:rsidRDefault="0001315A" w:rsidP="0001315A">
      <w:pPr>
        <w:spacing w:after="0" w:line="240" w:lineRule="auto"/>
        <w:rPr>
          <w:rFonts w:ascii="Times New Roman" w:hAnsi="Times New Roman"/>
          <w:sz w:val="24"/>
          <w:szCs w:val="24"/>
        </w:rPr>
      </w:pPr>
    </w:p>
    <w:p w:rsidR="0001315A" w:rsidRDefault="001D630D" w:rsidP="0001315A">
      <w:pPr>
        <w:spacing w:after="0" w:line="240" w:lineRule="auto"/>
        <w:rPr>
          <w:rFonts w:ascii="Times New Roman" w:hAnsi="Times New Roman"/>
          <w:sz w:val="24"/>
          <w:szCs w:val="24"/>
        </w:rPr>
      </w:pPr>
      <w:r w:rsidRPr="001D630D">
        <w:rPr>
          <w:noProof/>
          <w:szCs w:val="24"/>
          <w:lang w:eastAsia="en-US"/>
        </w:rPr>
        <w:drawing>
          <wp:inline distT="0" distB="0" distL="0" distR="0">
            <wp:extent cx="9509760" cy="1660524"/>
            <wp:effectExtent l="19050" t="0" r="0" b="0"/>
            <wp:docPr id="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9509760" cy="1660524"/>
                    </a:xfrm>
                    <a:prstGeom prst="rect">
                      <a:avLst/>
                    </a:prstGeom>
                    <a:noFill/>
                    <a:ln w="9525">
                      <a:noFill/>
                      <a:miter lim="800000"/>
                      <a:headEnd/>
                      <a:tailEnd/>
                    </a:ln>
                  </pic:spPr>
                </pic:pic>
              </a:graphicData>
            </a:graphic>
          </wp:inline>
        </w:drawing>
      </w:r>
    </w:p>
    <w:p w:rsidR="0001315A" w:rsidRDefault="0001315A" w:rsidP="0001315A">
      <w:pPr>
        <w:spacing w:after="0" w:line="240" w:lineRule="auto"/>
        <w:rPr>
          <w:rFonts w:ascii="Times New Roman" w:hAnsi="Times New Roman"/>
          <w:sz w:val="24"/>
          <w:szCs w:val="24"/>
        </w:rPr>
      </w:pPr>
    </w:p>
    <w:p w:rsidR="0001315A" w:rsidRDefault="0001315A" w:rsidP="0001315A">
      <w:pPr>
        <w:spacing w:after="0" w:line="240" w:lineRule="auto"/>
        <w:rPr>
          <w:rFonts w:ascii="Times New Roman" w:hAnsi="Times New Roman"/>
          <w:color w:val="548DD4" w:themeColor="text2" w:themeTint="99"/>
          <w:sz w:val="24"/>
          <w:szCs w:val="24"/>
        </w:rPr>
      </w:pPr>
    </w:p>
    <w:p w:rsidR="0001315A" w:rsidRDefault="0001315A" w:rsidP="0001315A">
      <w:pPr>
        <w:spacing w:after="0" w:line="240" w:lineRule="auto"/>
        <w:rPr>
          <w:rFonts w:ascii="Times New Roman" w:hAnsi="Times New Roman"/>
          <w:color w:val="548DD4" w:themeColor="text2" w:themeTint="99"/>
          <w:sz w:val="24"/>
          <w:szCs w:val="24"/>
        </w:rPr>
      </w:pPr>
    </w:p>
    <w:p w:rsidR="002B6DB5" w:rsidRDefault="002B6DB5">
      <w:pPr>
        <w:spacing w:after="0" w:line="240" w:lineRule="auto"/>
        <w:rPr>
          <w:rFonts w:ascii="Times New Roman" w:hAnsi="Times New Roman"/>
          <w:b/>
          <w:color w:val="548DD4" w:themeColor="text2" w:themeTint="99"/>
          <w:sz w:val="24"/>
          <w:szCs w:val="24"/>
        </w:rPr>
      </w:pPr>
      <w:r>
        <w:rPr>
          <w:rFonts w:ascii="Times New Roman" w:hAnsi="Times New Roman"/>
          <w:b/>
          <w:color w:val="548DD4" w:themeColor="text2" w:themeTint="99"/>
          <w:sz w:val="24"/>
          <w:szCs w:val="24"/>
        </w:rPr>
        <w:br w:type="page"/>
      </w:r>
    </w:p>
    <w:p w:rsidR="0007499C" w:rsidRDefault="0001315A">
      <w:pPr>
        <w:spacing w:after="0" w:line="240" w:lineRule="auto"/>
        <w:rPr>
          <w:rFonts w:ascii="Times New Roman" w:hAnsi="Times New Roman"/>
          <w:b/>
          <w:sz w:val="24"/>
          <w:szCs w:val="24"/>
        </w:rPr>
      </w:pPr>
      <w:r w:rsidRPr="0001315A">
        <w:rPr>
          <w:rFonts w:ascii="Times New Roman" w:hAnsi="Times New Roman"/>
          <w:b/>
          <w:sz w:val="24"/>
          <w:szCs w:val="24"/>
        </w:rPr>
        <w:lastRenderedPageBreak/>
        <w:t>Scenario 1 Balance Sheet</w:t>
      </w:r>
    </w:p>
    <w:p w:rsidR="00E549BD" w:rsidRDefault="00E549BD">
      <w:pPr>
        <w:spacing w:after="0" w:line="240" w:lineRule="auto"/>
        <w:rPr>
          <w:rFonts w:ascii="Times New Roman" w:hAnsi="Times New Roman"/>
          <w:b/>
          <w:sz w:val="24"/>
          <w:szCs w:val="24"/>
        </w:rPr>
      </w:pPr>
    </w:p>
    <w:p w:rsidR="00E549BD" w:rsidRPr="00E549BD" w:rsidRDefault="00E549BD" w:rsidP="00E549BD">
      <w:pPr>
        <w:spacing w:after="0" w:line="240" w:lineRule="auto"/>
        <w:jc w:val="center"/>
        <w:rPr>
          <w:rFonts w:ascii="Times New Roman" w:hAnsi="Times New Roman"/>
          <w:sz w:val="24"/>
          <w:szCs w:val="24"/>
        </w:rPr>
      </w:pPr>
      <w:r w:rsidRPr="00E549BD">
        <w:rPr>
          <w:noProof/>
          <w:szCs w:val="24"/>
          <w:lang w:eastAsia="en-US"/>
        </w:rPr>
        <w:drawing>
          <wp:inline distT="0" distB="0" distL="0" distR="0">
            <wp:extent cx="7667625" cy="4785420"/>
            <wp:effectExtent l="19050" t="0" r="9525"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7672677" cy="4788573"/>
                    </a:xfrm>
                    <a:prstGeom prst="rect">
                      <a:avLst/>
                    </a:prstGeom>
                    <a:noFill/>
                    <a:ln w="9525">
                      <a:noFill/>
                      <a:miter lim="800000"/>
                      <a:headEnd/>
                      <a:tailEnd/>
                    </a:ln>
                  </pic:spPr>
                </pic:pic>
              </a:graphicData>
            </a:graphic>
          </wp:inline>
        </w:drawing>
      </w:r>
    </w:p>
    <w:p w:rsidR="000E5B7A" w:rsidRPr="00770C38" w:rsidRDefault="00E431ED" w:rsidP="000E5B7A">
      <w:pPr>
        <w:ind w:left="1170" w:hanging="1170"/>
        <w:rPr>
          <w:rFonts w:ascii="Times New Roman" w:hAnsi="Times New Roman"/>
          <w:b/>
          <w:color w:val="548DD4" w:themeColor="text2" w:themeTint="99"/>
          <w:sz w:val="24"/>
          <w:szCs w:val="24"/>
        </w:rPr>
      </w:pPr>
      <w:r w:rsidRPr="00E431ED">
        <w:rPr>
          <w:b/>
          <w:noProof/>
          <w:color w:val="548DD4" w:themeColor="text2" w:themeTint="99"/>
          <w:lang w:eastAsia="en-US"/>
        </w:rPr>
        <w:lastRenderedPageBreak/>
        <w:pict>
          <v:shape id="Text Box 7" o:spid="_x0000_s1028" type="#_x0000_t202" style="position:absolute;left:0;text-align:left;margin-left:1.8pt;margin-top:-419.65pt;width:459.3pt;height:113.8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r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" stroked="f">
            <v:textbox style="mso-next-textbox:#Text Box 7">
              <w:txbxContent>
                <w:p w:rsidR="00B37C38" w:rsidRPr="00010770" w:rsidRDefault="00B37C38" w:rsidP="000E5B7A">
                  <w:pPr>
                    <w:rPr>
                      <w:rFonts w:ascii="Times New Roman" w:hAnsi="Times New Roman"/>
                      <w:color w:val="808080"/>
                      <w:sz w:val="32"/>
                      <w:szCs w:val="32"/>
                    </w:rPr>
                  </w:pPr>
                  <w:r>
                    <w:rPr>
                      <w:rFonts w:ascii="Times New Roman" w:hAnsi="Times New Roman"/>
                      <w:color w:val="808080"/>
                      <w:sz w:val="32"/>
                      <w:szCs w:val="32"/>
                    </w:rPr>
                    <w:t>Impact Analysis: 2014-2023</w:t>
                  </w:r>
                </w:p>
              </w:txbxContent>
            </v:textbox>
            <w10:anchorlock/>
          </v:shape>
        </w:pict>
      </w:r>
      <w:r w:rsidRPr="00E431ED">
        <w:rPr>
          <w:b/>
          <w:noProof/>
          <w:color w:val="548DD4" w:themeColor="text2" w:themeTint="99"/>
          <w:lang w:eastAsia="en-US"/>
        </w:rPr>
        <w:pict>
          <v:shape id="Text Box 6" o:spid="_x0000_s1029" type="#_x0000_t202" style="position:absolute;left:0;text-align:left;margin-left:-.2pt;margin-top:-535.15pt;width:459.3pt;height:98.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" stroked="f">
            <v:textbox style="mso-next-textbox:#Text Box 6">
              <w:txbxContent>
                <w:p w:rsidR="00B37C38" w:rsidRDefault="00B37C38" w:rsidP="000E5B7A">
                  <w:pPr>
                    <w:pStyle w:val="NoSpacing"/>
                    <w:rPr>
                      <w:rFonts w:ascii="Times New Roman" w:hAnsi="Times New Roman"/>
                      <w:color w:val="00AFDB"/>
                      <w:sz w:val="48"/>
                      <w:szCs w:val="48"/>
                    </w:rPr>
                  </w:pPr>
                </w:p>
                <w:p w:rsidR="00B37C38" w:rsidRDefault="00B37C38" w:rsidP="000E5B7A">
                  <w:pPr>
                    <w:pStyle w:val="NoSpacing"/>
                    <w:rPr>
                      <w:rFonts w:ascii="Times New Roman" w:hAnsi="Times New Roman"/>
                      <w:color w:val="00AFDB"/>
                      <w:sz w:val="48"/>
                      <w:szCs w:val="48"/>
                    </w:rPr>
                  </w:pPr>
                  <w:r>
                    <w:rPr>
                      <w:rFonts w:ascii="Times New Roman" w:hAnsi="Times New Roman"/>
                      <w:color w:val="00AFDB"/>
                      <w:sz w:val="48"/>
                      <w:szCs w:val="48"/>
                    </w:rPr>
                    <w:t>State of Utah</w:t>
                  </w:r>
                </w:p>
                <w:p w:rsidR="00B37C38" w:rsidRPr="00D00F04" w:rsidRDefault="00B37C38" w:rsidP="000E5B7A">
                  <w:pPr>
                    <w:pStyle w:val="NoSpacing"/>
                    <w:rPr>
                      <w:rFonts w:ascii="Times New Roman" w:hAnsi="Times New Roman"/>
                      <w:color w:val="00AFDB"/>
                      <w:sz w:val="48"/>
                      <w:szCs w:val="48"/>
                    </w:rPr>
                  </w:pPr>
                  <w:r>
                    <w:rPr>
                      <w:rFonts w:ascii="Times New Roman" w:hAnsi="Times New Roman"/>
                      <w:color w:val="00AFDB"/>
                      <w:sz w:val="48"/>
                      <w:szCs w:val="48"/>
                    </w:rPr>
                    <w:t>Medicaid Expansion Assessment</w:t>
                  </w:r>
                </w:p>
                <w:p w:rsidR="00B37C38" w:rsidRDefault="00B37C38" w:rsidP="000E5B7A">
                  <w:pPr>
                    <w:pStyle w:val="NoSpacing"/>
                    <w:rPr>
                      <w:rFonts w:ascii="Times New Roman" w:hAnsi="Times New Roman"/>
                      <w:color w:val="808080"/>
                      <w:sz w:val="32"/>
                      <w:szCs w:val="32"/>
                    </w:rPr>
                  </w:pPr>
                </w:p>
                <w:p w:rsidR="00B37C38" w:rsidRPr="00010770" w:rsidRDefault="00B37C38" w:rsidP="000E5B7A">
                  <w:pPr>
                    <w:pStyle w:val="NoSpacing"/>
                    <w:rPr>
                      <w:rFonts w:ascii="Times New Roman" w:hAnsi="Times New Roman"/>
                      <w:color w:val="808080"/>
                      <w:sz w:val="32"/>
                      <w:szCs w:val="32"/>
                    </w:rPr>
                  </w:pPr>
                  <w:r>
                    <w:rPr>
                      <w:rFonts w:ascii="Times New Roman" w:hAnsi="Times New Roman"/>
                      <w:color w:val="808080"/>
                      <w:sz w:val="32"/>
                      <w:szCs w:val="32"/>
                    </w:rPr>
                    <w:t>Strategic Planning Process</w:t>
                  </w:r>
                </w:p>
              </w:txbxContent>
            </v:textbox>
            <w10:anchorlock/>
          </v:shape>
        </w:pict>
      </w:r>
      <w:r w:rsidR="000E5B7A" w:rsidRPr="00770C38">
        <w:rPr>
          <w:rFonts w:ascii="Times New Roman" w:hAnsi="Times New Roman"/>
          <w:b/>
          <w:color w:val="548DD4" w:themeColor="text2" w:themeTint="99"/>
          <w:sz w:val="24"/>
          <w:szCs w:val="24"/>
        </w:rPr>
        <w:t xml:space="preserve">Scenario </w:t>
      </w:r>
      <w:r w:rsidR="00B81320">
        <w:rPr>
          <w:rFonts w:ascii="Times New Roman" w:hAnsi="Times New Roman"/>
          <w:b/>
          <w:color w:val="548DD4" w:themeColor="text2" w:themeTint="99"/>
          <w:sz w:val="24"/>
          <w:szCs w:val="24"/>
        </w:rPr>
        <w:t>2</w:t>
      </w:r>
      <w:r w:rsidR="000E5B7A" w:rsidRPr="00770C38">
        <w:rPr>
          <w:rFonts w:ascii="Times New Roman" w:hAnsi="Times New Roman"/>
          <w:b/>
          <w:color w:val="548DD4" w:themeColor="text2" w:themeTint="99"/>
          <w:sz w:val="24"/>
          <w:szCs w:val="24"/>
        </w:rPr>
        <w:t xml:space="preserve">: </w:t>
      </w:r>
      <w:r w:rsidR="000E5B7A" w:rsidRPr="00770C38">
        <w:rPr>
          <w:rFonts w:ascii="Times New Roman" w:hAnsi="Times New Roman"/>
          <w:b/>
          <w:sz w:val="24"/>
          <w:szCs w:val="24"/>
        </w:rPr>
        <w:t>Optional Expansion of Medicaid to 138% FPL with Traditional Medicaid Benefits</w:t>
      </w:r>
    </w:p>
    <w:p w:rsidR="000E5B7A" w:rsidRDefault="000E5B7A" w:rsidP="000E5B7A">
      <w:pPr>
        <w:spacing w:after="0" w:line="240" w:lineRule="auto"/>
        <w:rPr>
          <w:rFonts w:ascii="Times New Roman" w:hAnsi="Times New Roman"/>
          <w:sz w:val="24"/>
          <w:szCs w:val="24"/>
        </w:rPr>
      </w:pPr>
      <w:r>
        <w:rPr>
          <w:rFonts w:ascii="Times New Roman" w:hAnsi="Times New Roman"/>
          <w:sz w:val="24"/>
          <w:szCs w:val="24"/>
        </w:rPr>
        <w:t xml:space="preserve">Scenario </w:t>
      </w:r>
      <w:r w:rsidR="00B81320">
        <w:rPr>
          <w:rFonts w:ascii="Times New Roman" w:hAnsi="Times New Roman"/>
          <w:sz w:val="24"/>
          <w:szCs w:val="24"/>
        </w:rPr>
        <w:t>2</w:t>
      </w:r>
      <w:r>
        <w:rPr>
          <w:rFonts w:ascii="Times New Roman" w:hAnsi="Times New Roman"/>
          <w:sz w:val="24"/>
          <w:szCs w:val="24"/>
        </w:rPr>
        <w:t xml:space="preserve"> </w:t>
      </w:r>
      <w:r w:rsidR="00D63ED8">
        <w:rPr>
          <w:rFonts w:ascii="Times New Roman" w:hAnsi="Times New Roman"/>
          <w:sz w:val="24"/>
          <w:szCs w:val="24"/>
        </w:rPr>
        <w:t xml:space="preserve">assumes Utah expands Medicaid with traditional Medicaid benefits to 138% of the FPL.  The </w:t>
      </w:r>
      <w:r>
        <w:rPr>
          <w:rFonts w:ascii="Times New Roman" w:hAnsi="Times New Roman"/>
          <w:sz w:val="24"/>
          <w:szCs w:val="24"/>
        </w:rPr>
        <w:t xml:space="preserve">population estimate was broken into three sets of numbers: a high estimate, a low estimate, and an average of the high and low estimates. The populations estimate methodology is described in more detail in this report. </w:t>
      </w:r>
      <w:r w:rsidR="0030336E">
        <w:rPr>
          <w:rFonts w:ascii="Times New Roman" w:hAnsi="Times New Roman"/>
          <w:sz w:val="24"/>
          <w:szCs w:val="24"/>
        </w:rPr>
        <w:t xml:space="preserve"> The average is used to model the costs and savings for </w:t>
      </w:r>
      <w:r w:rsidR="00021149">
        <w:rPr>
          <w:rFonts w:ascii="Times New Roman" w:hAnsi="Times New Roman"/>
          <w:sz w:val="24"/>
          <w:szCs w:val="24"/>
        </w:rPr>
        <w:t>all</w:t>
      </w:r>
      <w:r w:rsidR="0030336E">
        <w:rPr>
          <w:rFonts w:ascii="Times New Roman" w:hAnsi="Times New Roman"/>
          <w:sz w:val="24"/>
          <w:szCs w:val="24"/>
        </w:rPr>
        <w:t xml:space="preserve"> scenario</w:t>
      </w:r>
      <w:r w:rsidR="00021149">
        <w:rPr>
          <w:rFonts w:ascii="Times New Roman" w:hAnsi="Times New Roman"/>
          <w:sz w:val="24"/>
          <w:szCs w:val="24"/>
        </w:rPr>
        <w:t>s</w:t>
      </w:r>
      <w:r w:rsidR="005B2F9D">
        <w:rPr>
          <w:rFonts w:ascii="Times New Roman" w:hAnsi="Times New Roman"/>
          <w:sz w:val="24"/>
          <w:szCs w:val="24"/>
        </w:rPr>
        <w:t xml:space="preserve"> in the balance sheets</w:t>
      </w:r>
      <w:r w:rsidR="00710B50">
        <w:rPr>
          <w:rFonts w:ascii="Times New Roman" w:hAnsi="Times New Roman"/>
          <w:sz w:val="24"/>
          <w:szCs w:val="24"/>
        </w:rPr>
        <w:t xml:space="preserve"> but highs and lows are given to demonstrate the potential estimated variation both in the costs and population counts</w:t>
      </w:r>
      <w:r w:rsidR="009A2CDD">
        <w:rPr>
          <w:rFonts w:ascii="Times New Roman" w:hAnsi="Times New Roman"/>
          <w:sz w:val="24"/>
          <w:szCs w:val="24"/>
        </w:rPr>
        <w:t>.</w:t>
      </w:r>
      <w:r w:rsidR="00710B50">
        <w:rPr>
          <w:rFonts w:ascii="Times New Roman" w:hAnsi="Times New Roman"/>
          <w:sz w:val="24"/>
          <w:szCs w:val="24"/>
        </w:rPr>
        <w:t xml:space="preserve"> Total population and cost estimates have been provided across differing time frames</w:t>
      </w:r>
      <w:r w:rsidR="006344C8">
        <w:rPr>
          <w:rFonts w:ascii="Times New Roman" w:hAnsi="Times New Roman"/>
          <w:sz w:val="24"/>
          <w:szCs w:val="24"/>
        </w:rPr>
        <w:t>:</w:t>
      </w:r>
      <w:r w:rsidR="00710B50">
        <w:rPr>
          <w:rFonts w:ascii="Times New Roman" w:hAnsi="Times New Roman"/>
          <w:sz w:val="24"/>
          <w:szCs w:val="24"/>
        </w:rPr>
        <w:t xml:space="preserve"> six months, one year, three years and the </w:t>
      </w:r>
      <w:r w:rsidR="006344C8">
        <w:rPr>
          <w:rFonts w:ascii="Times New Roman" w:hAnsi="Times New Roman"/>
          <w:sz w:val="24"/>
          <w:szCs w:val="24"/>
        </w:rPr>
        <w:t>t</w:t>
      </w:r>
      <w:r w:rsidR="00710B50">
        <w:rPr>
          <w:rFonts w:ascii="Times New Roman" w:hAnsi="Times New Roman"/>
          <w:sz w:val="24"/>
          <w:szCs w:val="24"/>
        </w:rPr>
        <w:t xml:space="preserve">en years.  For each time period </w:t>
      </w:r>
      <w:r w:rsidR="00436159">
        <w:rPr>
          <w:rFonts w:ascii="Times New Roman" w:hAnsi="Times New Roman"/>
          <w:sz w:val="24"/>
          <w:szCs w:val="24"/>
        </w:rPr>
        <w:t>a</w:t>
      </w:r>
      <w:r w:rsidR="00710B50">
        <w:rPr>
          <w:rFonts w:ascii="Times New Roman" w:hAnsi="Times New Roman"/>
          <w:sz w:val="24"/>
          <w:szCs w:val="24"/>
        </w:rPr>
        <w:t xml:space="preserve"> total figure for that period has been provided in addition to an</w:t>
      </w:r>
      <w:r w:rsidR="00436159">
        <w:rPr>
          <w:rFonts w:ascii="Times New Roman" w:hAnsi="Times New Roman"/>
          <w:sz w:val="24"/>
          <w:szCs w:val="24"/>
        </w:rPr>
        <w:t xml:space="preserve"> average annual estimate for that</w:t>
      </w:r>
      <w:r w:rsidR="00710B50">
        <w:rPr>
          <w:rFonts w:ascii="Times New Roman" w:hAnsi="Times New Roman"/>
          <w:sz w:val="24"/>
          <w:szCs w:val="24"/>
        </w:rPr>
        <w:t xml:space="preserve"> respective period.  Please note each time period is inclusive of the previous periods and each time frame can function independently.</w:t>
      </w:r>
    </w:p>
    <w:p w:rsidR="000E5B7A" w:rsidRDefault="000E5B7A"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r>
        <w:rPr>
          <w:rFonts w:ascii="Times New Roman" w:hAnsi="Times New Roman"/>
          <w:sz w:val="24"/>
          <w:szCs w:val="24"/>
        </w:rPr>
        <w:t xml:space="preserve">Please note that no children will be enrolled due to the Optional Expansion, but instead are considered only in Scenario </w:t>
      </w:r>
      <w:r w:rsidR="00B81320">
        <w:rPr>
          <w:rFonts w:ascii="Times New Roman" w:hAnsi="Times New Roman"/>
          <w:sz w:val="24"/>
          <w:szCs w:val="24"/>
        </w:rPr>
        <w:t>1</w:t>
      </w:r>
      <w:r>
        <w:rPr>
          <w:rFonts w:ascii="Times New Roman" w:hAnsi="Times New Roman"/>
          <w:sz w:val="24"/>
          <w:szCs w:val="24"/>
        </w:rPr>
        <w:t xml:space="preserve"> – no expansion, just woodwork effect</w:t>
      </w:r>
      <w:r w:rsidR="00B326FA">
        <w:rPr>
          <w:rFonts w:ascii="Times New Roman" w:hAnsi="Times New Roman"/>
          <w:sz w:val="24"/>
          <w:szCs w:val="24"/>
        </w:rPr>
        <w:t xml:space="preserve"> and mandatory expansion</w:t>
      </w:r>
      <w:r>
        <w:rPr>
          <w:rFonts w:ascii="Times New Roman" w:hAnsi="Times New Roman"/>
          <w:sz w:val="24"/>
          <w:szCs w:val="24"/>
        </w:rPr>
        <w:t>.</w:t>
      </w:r>
    </w:p>
    <w:p w:rsidR="000E5B7A" w:rsidRDefault="000E5B7A" w:rsidP="000E5B7A">
      <w:pPr>
        <w:spacing w:after="0" w:line="240" w:lineRule="auto"/>
        <w:rPr>
          <w:rFonts w:ascii="Times New Roman" w:hAnsi="Times New Roman"/>
          <w:sz w:val="24"/>
          <w:szCs w:val="24"/>
        </w:rPr>
      </w:pPr>
    </w:p>
    <w:p w:rsidR="000E5B7A" w:rsidRDefault="006E716D" w:rsidP="000E5B7A">
      <w:pPr>
        <w:spacing w:after="0" w:line="240" w:lineRule="auto"/>
        <w:rPr>
          <w:rFonts w:ascii="Times New Roman" w:hAnsi="Times New Roman"/>
          <w:sz w:val="24"/>
          <w:szCs w:val="24"/>
        </w:rPr>
      </w:pPr>
      <w:r w:rsidRPr="006E716D">
        <w:rPr>
          <w:noProof/>
          <w:szCs w:val="24"/>
          <w:lang w:eastAsia="en-US"/>
        </w:rPr>
        <w:drawing>
          <wp:inline distT="0" distB="0" distL="0" distR="0">
            <wp:extent cx="9509760" cy="2412021"/>
            <wp:effectExtent l="1905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9509760" cy="2412021"/>
                    </a:xfrm>
                    <a:prstGeom prst="rect">
                      <a:avLst/>
                    </a:prstGeom>
                    <a:noFill/>
                    <a:ln w="9525">
                      <a:noFill/>
                      <a:miter lim="800000"/>
                      <a:headEnd/>
                      <a:tailEnd/>
                    </a:ln>
                  </pic:spPr>
                </pic:pic>
              </a:graphicData>
            </a:graphic>
          </wp:inline>
        </w:drawing>
      </w:r>
    </w:p>
    <w:p w:rsidR="000E5B7A" w:rsidRDefault="000E5B7A"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p>
    <w:p w:rsidR="005B2F9D" w:rsidRDefault="005B2F9D" w:rsidP="000E5B7A">
      <w:pPr>
        <w:spacing w:after="0" w:line="240" w:lineRule="auto"/>
        <w:rPr>
          <w:rFonts w:ascii="Times New Roman" w:hAnsi="Times New Roman"/>
          <w:b/>
          <w:sz w:val="24"/>
          <w:szCs w:val="24"/>
        </w:rPr>
      </w:pPr>
      <w:r w:rsidRPr="0041432B">
        <w:rPr>
          <w:rFonts w:ascii="Times New Roman" w:hAnsi="Times New Roman"/>
          <w:b/>
          <w:sz w:val="24"/>
          <w:szCs w:val="24"/>
        </w:rPr>
        <w:lastRenderedPageBreak/>
        <w:t xml:space="preserve">Scenario </w:t>
      </w:r>
      <w:r w:rsidR="00B81320">
        <w:rPr>
          <w:rFonts w:ascii="Times New Roman" w:hAnsi="Times New Roman"/>
          <w:b/>
          <w:sz w:val="24"/>
          <w:szCs w:val="24"/>
        </w:rPr>
        <w:t>2</w:t>
      </w:r>
      <w:r w:rsidRPr="0041432B">
        <w:rPr>
          <w:rFonts w:ascii="Times New Roman" w:hAnsi="Times New Roman"/>
          <w:b/>
          <w:sz w:val="24"/>
          <w:szCs w:val="24"/>
        </w:rPr>
        <w:t xml:space="preserve"> Balance Sheet</w:t>
      </w:r>
    </w:p>
    <w:p w:rsidR="00E549BD" w:rsidRDefault="00E549BD" w:rsidP="000E5B7A">
      <w:pPr>
        <w:spacing w:after="0" w:line="240" w:lineRule="auto"/>
        <w:rPr>
          <w:rFonts w:ascii="Times New Roman" w:hAnsi="Times New Roman"/>
          <w:b/>
          <w:sz w:val="24"/>
          <w:szCs w:val="24"/>
        </w:rPr>
      </w:pPr>
    </w:p>
    <w:p w:rsidR="00E549BD" w:rsidRPr="00E549BD" w:rsidRDefault="00E549BD" w:rsidP="00E549BD">
      <w:pPr>
        <w:spacing w:after="0" w:line="240" w:lineRule="auto"/>
        <w:jc w:val="center"/>
        <w:rPr>
          <w:rFonts w:ascii="Times New Roman" w:hAnsi="Times New Roman"/>
          <w:sz w:val="24"/>
          <w:szCs w:val="24"/>
        </w:rPr>
      </w:pPr>
      <w:r w:rsidRPr="00E549BD">
        <w:rPr>
          <w:noProof/>
          <w:szCs w:val="24"/>
          <w:lang w:eastAsia="en-US"/>
        </w:rPr>
        <w:drawing>
          <wp:inline distT="0" distB="0" distL="0" distR="0">
            <wp:extent cx="7315200" cy="4581102"/>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7318132" cy="4582938"/>
                    </a:xfrm>
                    <a:prstGeom prst="rect">
                      <a:avLst/>
                    </a:prstGeom>
                    <a:noFill/>
                    <a:ln w="9525">
                      <a:noFill/>
                      <a:miter lim="800000"/>
                      <a:headEnd/>
                      <a:tailEnd/>
                    </a:ln>
                  </pic:spPr>
                </pic:pic>
              </a:graphicData>
            </a:graphic>
          </wp:inline>
        </w:drawing>
      </w:r>
    </w:p>
    <w:p w:rsidR="005B2F9D" w:rsidRDefault="005B2F9D" w:rsidP="000E5B7A">
      <w:pPr>
        <w:spacing w:after="0" w:line="240" w:lineRule="auto"/>
        <w:rPr>
          <w:rFonts w:ascii="Times New Roman" w:hAnsi="Times New Roman"/>
          <w:sz w:val="24"/>
          <w:szCs w:val="24"/>
        </w:rPr>
      </w:pPr>
    </w:p>
    <w:p w:rsidR="000E5B7A" w:rsidRPr="00770C38" w:rsidRDefault="000E5B7A" w:rsidP="000E5B7A">
      <w:pPr>
        <w:ind w:left="1170" w:hanging="1170"/>
        <w:rPr>
          <w:rFonts w:ascii="Times New Roman" w:hAnsi="Times New Roman"/>
          <w:b/>
          <w:sz w:val="24"/>
          <w:szCs w:val="24"/>
        </w:rPr>
      </w:pPr>
      <w:r w:rsidRPr="00770C38">
        <w:rPr>
          <w:rFonts w:ascii="Times New Roman" w:hAnsi="Times New Roman"/>
          <w:b/>
          <w:color w:val="548DD4" w:themeColor="text2" w:themeTint="99"/>
          <w:sz w:val="24"/>
          <w:szCs w:val="24"/>
        </w:rPr>
        <w:lastRenderedPageBreak/>
        <w:t xml:space="preserve">Scenario </w:t>
      </w:r>
      <w:r w:rsidR="00B81320">
        <w:rPr>
          <w:rFonts w:ascii="Times New Roman" w:hAnsi="Times New Roman"/>
          <w:b/>
          <w:color w:val="548DD4" w:themeColor="text2" w:themeTint="99"/>
          <w:sz w:val="24"/>
          <w:szCs w:val="24"/>
        </w:rPr>
        <w:t>3</w:t>
      </w:r>
      <w:r w:rsidRPr="00770C38">
        <w:rPr>
          <w:rFonts w:ascii="Times New Roman" w:hAnsi="Times New Roman"/>
          <w:b/>
          <w:color w:val="548DD4" w:themeColor="text2" w:themeTint="99"/>
          <w:sz w:val="24"/>
          <w:szCs w:val="24"/>
        </w:rPr>
        <w:t xml:space="preserve">: </w:t>
      </w:r>
      <w:r w:rsidRPr="00770C38">
        <w:rPr>
          <w:rFonts w:ascii="Times New Roman" w:hAnsi="Times New Roman"/>
          <w:b/>
          <w:sz w:val="24"/>
          <w:szCs w:val="24"/>
        </w:rPr>
        <w:t>Optional Expansion of Medicaid to 138% FPL with modeled Essential Health Benefits</w:t>
      </w:r>
    </w:p>
    <w:p w:rsidR="000E5B7A" w:rsidRDefault="00D63ED8" w:rsidP="000E5B7A">
      <w:pPr>
        <w:spacing w:after="0" w:line="240" w:lineRule="auto"/>
        <w:rPr>
          <w:rFonts w:ascii="Times New Roman" w:hAnsi="Times New Roman"/>
          <w:sz w:val="24"/>
          <w:szCs w:val="24"/>
        </w:rPr>
      </w:pPr>
      <w:r>
        <w:rPr>
          <w:rFonts w:ascii="Times New Roman" w:hAnsi="Times New Roman"/>
          <w:sz w:val="24"/>
          <w:szCs w:val="24"/>
        </w:rPr>
        <w:t xml:space="preserve">Scenario </w:t>
      </w:r>
      <w:r w:rsidR="00944A32">
        <w:rPr>
          <w:rFonts w:ascii="Times New Roman" w:hAnsi="Times New Roman"/>
          <w:sz w:val="24"/>
          <w:szCs w:val="24"/>
        </w:rPr>
        <w:t xml:space="preserve">3 </w:t>
      </w:r>
      <w:r>
        <w:rPr>
          <w:rFonts w:ascii="Times New Roman" w:hAnsi="Times New Roman"/>
          <w:sz w:val="24"/>
          <w:szCs w:val="24"/>
        </w:rPr>
        <w:t>assumes Utah expands Medicaid with Essential Health Benefits to 138% of the FPL.  P</w:t>
      </w:r>
      <w:r w:rsidR="000E5B7A">
        <w:rPr>
          <w:rFonts w:ascii="Times New Roman" w:hAnsi="Times New Roman"/>
          <w:sz w:val="24"/>
          <w:szCs w:val="24"/>
        </w:rPr>
        <w:t xml:space="preserve">opulation estimate was broken into three sets of numbers: a high estimate, a low estimate, and an average of the high and low estimates. </w:t>
      </w:r>
      <w:r w:rsidR="0030336E">
        <w:rPr>
          <w:rFonts w:ascii="Times New Roman" w:hAnsi="Times New Roman"/>
          <w:sz w:val="24"/>
          <w:szCs w:val="24"/>
        </w:rPr>
        <w:t xml:space="preserve">The average is used to model the costs and savings for this scenario.  </w:t>
      </w:r>
      <w:r w:rsidR="00A26020">
        <w:rPr>
          <w:rFonts w:ascii="Times New Roman" w:hAnsi="Times New Roman"/>
          <w:sz w:val="24"/>
          <w:szCs w:val="24"/>
        </w:rPr>
        <w:t>The population</w:t>
      </w:r>
      <w:r w:rsidR="000E5B7A">
        <w:rPr>
          <w:rFonts w:ascii="Times New Roman" w:hAnsi="Times New Roman"/>
          <w:sz w:val="24"/>
          <w:szCs w:val="24"/>
        </w:rPr>
        <w:t xml:space="preserve"> estimate methodology is described in more detail in this report. Please note that no children will be enrolled due to the Optional Expansion, but instead are considered only in Scenario </w:t>
      </w:r>
      <w:r w:rsidR="002B6DB5">
        <w:rPr>
          <w:rFonts w:ascii="Times New Roman" w:hAnsi="Times New Roman"/>
          <w:sz w:val="24"/>
          <w:szCs w:val="24"/>
        </w:rPr>
        <w:t>1</w:t>
      </w:r>
      <w:r w:rsidR="000E5B7A">
        <w:rPr>
          <w:rFonts w:ascii="Times New Roman" w:hAnsi="Times New Roman"/>
          <w:sz w:val="24"/>
          <w:szCs w:val="24"/>
        </w:rPr>
        <w:t xml:space="preserve"> – no expansion, just woodwork effect</w:t>
      </w:r>
      <w:r w:rsidR="00D41BFF">
        <w:rPr>
          <w:rFonts w:ascii="Times New Roman" w:hAnsi="Times New Roman"/>
          <w:sz w:val="24"/>
          <w:szCs w:val="24"/>
        </w:rPr>
        <w:t xml:space="preserve"> and mandatory expansion</w:t>
      </w:r>
      <w:r w:rsidR="000E5B7A">
        <w:rPr>
          <w:rFonts w:ascii="Times New Roman" w:hAnsi="Times New Roman"/>
          <w:sz w:val="24"/>
          <w:szCs w:val="24"/>
        </w:rPr>
        <w:t>.</w:t>
      </w:r>
    </w:p>
    <w:p w:rsidR="00D63ED8" w:rsidRDefault="00D63ED8" w:rsidP="000E5B7A">
      <w:pPr>
        <w:spacing w:after="0" w:line="240" w:lineRule="auto"/>
        <w:rPr>
          <w:rFonts w:ascii="Times New Roman" w:hAnsi="Times New Roman"/>
          <w:sz w:val="24"/>
          <w:szCs w:val="24"/>
        </w:rPr>
      </w:pPr>
    </w:p>
    <w:p w:rsidR="00D63ED8" w:rsidRDefault="00D63ED8" w:rsidP="00D63ED8">
      <w:pPr>
        <w:spacing w:after="0" w:line="240" w:lineRule="auto"/>
        <w:rPr>
          <w:rFonts w:ascii="Times New Roman" w:hAnsi="Times New Roman"/>
          <w:sz w:val="24"/>
          <w:szCs w:val="24"/>
        </w:rPr>
      </w:pPr>
      <w:r>
        <w:rPr>
          <w:rFonts w:ascii="Times New Roman" w:hAnsi="Times New Roman"/>
          <w:sz w:val="24"/>
          <w:szCs w:val="24"/>
        </w:rPr>
        <w:t>Please note that no children will be enrolled due to the Optional Expansion, but instead are considered only in Scenario 1 – no expansion, just woodwork effect and mandatory expansion.</w:t>
      </w:r>
    </w:p>
    <w:p w:rsidR="00D63ED8" w:rsidRDefault="00D63ED8"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p>
    <w:p w:rsidR="000E5B7A" w:rsidRDefault="006E716D" w:rsidP="000E5B7A">
      <w:pPr>
        <w:spacing w:after="0" w:line="240" w:lineRule="auto"/>
        <w:rPr>
          <w:rFonts w:ascii="Times New Roman" w:hAnsi="Times New Roman"/>
          <w:sz w:val="24"/>
          <w:szCs w:val="24"/>
        </w:rPr>
      </w:pPr>
      <w:r w:rsidRPr="006E716D">
        <w:rPr>
          <w:noProof/>
          <w:szCs w:val="24"/>
          <w:lang w:eastAsia="en-US"/>
        </w:rPr>
        <w:drawing>
          <wp:inline distT="0" distB="0" distL="0" distR="0">
            <wp:extent cx="9509760" cy="2412021"/>
            <wp:effectExtent l="19050" t="0" r="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9509760" cy="2412021"/>
                    </a:xfrm>
                    <a:prstGeom prst="rect">
                      <a:avLst/>
                    </a:prstGeom>
                    <a:noFill/>
                    <a:ln w="9525">
                      <a:noFill/>
                      <a:miter lim="800000"/>
                      <a:headEnd/>
                      <a:tailEnd/>
                    </a:ln>
                  </pic:spPr>
                </pic:pic>
              </a:graphicData>
            </a:graphic>
          </wp:inline>
        </w:drawing>
      </w:r>
    </w:p>
    <w:p w:rsidR="000E5B7A" w:rsidRDefault="000E5B7A"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p>
    <w:p w:rsidR="000E5B7A" w:rsidRDefault="000E5B7A" w:rsidP="000E5B7A">
      <w:pPr>
        <w:spacing w:after="0" w:line="240" w:lineRule="auto"/>
        <w:rPr>
          <w:noProof/>
          <w:szCs w:val="24"/>
          <w:lang w:eastAsia="en-US"/>
        </w:rPr>
      </w:pPr>
    </w:p>
    <w:p w:rsidR="00770F6B" w:rsidRDefault="00770F6B" w:rsidP="000E5B7A">
      <w:pPr>
        <w:spacing w:after="0" w:line="240" w:lineRule="auto"/>
        <w:rPr>
          <w:noProof/>
          <w:szCs w:val="24"/>
          <w:lang w:eastAsia="en-US"/>
        </w:rPr>
      </w:pPr>
    </w:p>
    <w:p w:rsidR="00770F6B" w:rsidRDefault="00770F6B" w:rsidP="000E5B7A">
      <w:pPr>
        <w:spacing w:after="0" w:line="240" w:lineRule="auto"/>
        <w:rPr>
          <w:rFonts w:ascii="Times New Roman" w:hAnsi="Times New Roman"/>
          <w:b/>
          <w:noProof/>
          <w:szCs w:val="24"/>
          <w:lang w:eastAsia="en-US"/>
        </w:rPr>
      </w:pPr>
      <w:r w:rsidRPr="003C4FFC">
        <w:rPr>
          <w:rFonts w:ascii="Times New Roman" w:hAnsi="Times New Roman"/>
          <w:b/>
          <w:noProof/>
          <w:szCs w:val="24"/>
          <w:lang w:eastAsia="en-US"/>
        </w:rPr>
        <w:lastRenderedPageBreak/>
        <w:t xml:space="preserve">Scenario </w:t>
      </w:r>
      <w:r w:rsidR="002B6DB5" w:rsidRPr="003C4FFC">
        <w:rPr>
          <w:rFonts w:ascii="Times New Roman" w:hAnsi="Times New Roman"/>
          <w:b/>
          <w:noProof/>
          <w:szCs w:val="24"/>
          <w:lang w:eastAsia="en-US"/>
        </w:rPr>
        <w:t>3</w:t>
      </w:r>
      <w:r w:rsidRPr="003C4FFC">
        <w:rPr>
          <w:rFonts w:ascii="Times New Roman" w:hAnsi="Times New Roman"/>
          <w:b/>
          <w:noProof/>
          <w:szCs w:val="24"/>
          <w:lang w:eastAsia="en-US"/>
        </w:rPr>
        <w:t xml:space="preserve"> Balance Sheet</w:t>
      </w:r>
    </w:p>
    <w:p w:rsidR="00425931" w:rsidRPr="003C4FFC" w:rsidRDefault="00425931" w:rsidP="000E5B7A">
      <w:pPr>
        <w:spacing w:after="0" w:line="240" w:lineRule="auto"/>
        <w:rPr>
          <w:rFonts w:ascii="Times New Roman" w:hAnsi="Times New Roman"/>
          <w:b/>
          <w:noProof/>
          <w:szCs w:val="24"/>
          <w:lang w:eastAsia="en-US"/>
        </w:rPr>
      </w:pPr>
    </w:p>
    <w:p w:rsidR="00770F6B" w:rsidRDefault="00425931" w:rsidP="00425931">
      <w:pPr>
        <w:spacing w:after="0" w:line="240" w:lineRule="auto"/>
        <w:jc w:val="center"/>
        <w:rPr>
          <w:noProof/>
          <w:szCs w:val="24"/>
          <w:lang w:eastAsia="en-US"/>
        </w:rPr>
      </w:pPr>
      <w:r w:rsidRPr="00425931">
        <w:rPr>
          <w:noProof/>
          <w:szCs w:val="24"/>
          <w:lang w:eastAsia="en-US"/>
        </w:rPr>
        <w:drawing>
          <wp:inline distT="0" distB="0" distL="0" distR="0">
            <wp:extent cx="6858000" cy="452239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861949" cy="4525002"/>
                    </a:xfrm>
                    <a:prstGeom prst="rect">
                      <a:avLst/>
                    </a:prstGeom>
                    <a:noFill/>
                    <a:ln w="9525">
                      <a:noFill/>
                      <a:miter lim="800000"/>
                      <a:headEnd/>
                      <a:tailEnd/>
                    </a:ln>
                  </pic:spPr>
                </pic:pic>
              </a:graphicData>
            </a:graphic>
          </wp:inline>
        </w:drawing>
      </w:r>
    </w:p>
    <w:p w:rsidR="00206694" w:rsidRDefault="00206694" w:rsidP="00206694">
      <w:pPr>
        <w:spacing w:after="0" w:line="240" w:lineRule="auto"/>
        <w:jc w:val="center"/>
        <w:rPr>
          <w:noProof/>
          <w:szCs w:val="24"/>
          <w:lang w:eastAsia="en-US"/>
        </w:rPr>
      </w:pPr>
    </w:p>
    <w:p w:rsidR="00425931" w:rsidRDefault="00425931" w:rsidP="000E5B7A">
      <w:pPr>
        <w:ind w:left="1170" w:hanging="1170"/>
        <w:rPr>
          <w:rFonts w:ascii="Times New Roman" w:hAnsi="Times New Roman"/>
          <w:b/>
          <w:color w:val="548DD4" w:themeColor="text2" w:themeTint="99"/>
          <w:sz w:val="24"/>
          <w:szCs w:val="24"/>
        </w:rPr>
      </w:pPr>
    </w:p>
    <w:p w:rsidR="000E5B7A" w:rsidRPr="00770C38" w:rsidRDefault="000E5B7A" w:rsidP="000E5B7A">
      <w:pPr>
        <w:ind w:left="1170" w:hanging="1170"/>
        <w:rPr>
          <w:rFonts w:ascii="Times New Roman" w:hAnsi="Times New Roman"/>
          <w:b/>
          <w:color w:val="548DD4" w:themeColor="text2" w:themeTint="99"/>
          <w:sz w:val="24"/>
          <w:szCs w:val="24"/>
        </w:rPr>
      </w:pPr>
      <w:r w:rsidRPr="00770C38">
        <w:rPr>
          <w:rFonts w:ascii="Times New Roman" w:hAnsi="Times New Roman"/>
          <w:b/>
          <w:color w:val="548DD4" w:themeColor="text2" w:themeTint="99"/>
          <w:sz w:val="24"/>
          <w:szCs w:val="24"/>
        </w:rPr>
        <w:lastRenderedPageBreak/>
        <w:t xml:space="preserve">Scenario </w:t>
      </w:r>
      <w:r w:rsidR="002B6DB5">
        <w:rPr>
          <w:rFonts w:ascii="Times New Roman" w:hAnsi="Times New Roman"/>
          <w:b/>
          <w:color w:val="548DD4" w:themeColor="text2" w:themeTint="99"/>
          <w:sz w:val="24"/>
          <w:szCs w:val="24"/>
        </w:rPr>
        <w:t>4</w:t>
      </w:r>
      <w:r w:rsidRPr="00770C38">
        <w:rPr>
          <w:rFonts w:ascii="Times New Roman" w:hAnsi="Times New Roman"/>
          <w:b/>
          <w:color w:val="548DD4" w:themeColor="text2" w:themeTint="99"/>
          <w:sz w:val="24"/>
          <w:szCs w:val="24"/>
        </w:rPr>
        <w:t xml:space="preserve">: </w:t>
      </w:r>
      <w:r w:rsidRPr="00770C38">
        <w:rPr>
          <w:rFonts w:ascii="Times New Roman" w:hAnsi="Times New Roman"/>
          <w:b/>
          <w:sz w:val="24"/>
          <w:szCs w:val="24"/>
        </w:rPr>
        <w:t>Optional Expansion of Medicaid to 1</w:t>
      </w:r>
      <w:r>
        <w:rPr>
          <w:rFonts w:ascii="Times New Roman" w:hAnsi="Times New Roman"/>
          <w:b/>
          <w:sz w:val="24"/>
          <w:szCs w:val="24"/>
        </w:rPr>
        <w:t>00</w:t>
      </w:r>
      <w:r w:rsidRPr="00770C38">
        <w:rPr>
          <w:rFonts w:ascii="Times New Roman" w:hAnsi="Times New Roman"/>
          <w:b/>
          <w:sz w:val="24"/>
          <w:szCs w:val="24"/>
        </w:rPr>
        <w:t>% FPL with Traditional Medicaid Benefits</w:t>
      </w:r>
    </w:p>
    <w:p w:rsidR="00D63ED8" w:rsidRDefault="000E5B7A" w:rsidP="000E5B7A">
      <w:pPr>
        <w:spacing w:after="0" w:line="240" w:lineRule="auto"/>
        <w:rPr>
          <w:rFonts w:ascii="Times New Roman" w:hAnsi="Times New Roman"/>
          <w:sz w:val="24"/>
          <w:szCs w:val="24"/>
        </w:rPr>
      </w:pPr>
      <w:r>
        <w:rPr>
          <w:rFonts w:ascii="Times New Roman" w:hAnsi="Times New Roman"/>
          <w:sz w:val="24"/>
          <w:szCs w:val="24"/>
        </w:rPr>
        <w:t xml:space="preserve">Scenario </w:t>
      </w:r>
      <w:r w:rsidR="002B6DB5">
        <w:rPr>
          <w:rFonts w:ascii="Times New Roman" w:hAnsi="Times New Roman"/>
          <w:sz w:val="24"/>
          <w:szCs w:val="24"/>
        </w:rPr>
        <w:t>4</w:t>
      </w:r>
      <w:r>
        <w:rPr>
          <w:rFonts w:ascii="Times New Roman" w:hAnsi="Times New Roman"/>
          <w:sz w:val="24"/>
          <w:szCs w:val="24"/>
        </w:rPr>
        <w:t xml:space="preserve"> assumes a Medicaid expansion to only 100% FPL</w:t>
      </w:r>
      <w:r w:rsidR="001D605A">
        <w:rPr>
          <w:rFonts w:ascii="Times New Roman" w:hAnsi="Times New Roman"/>
          <w:sz w:val="24"/>
          <w:szCs w:val="24"/>
        </w:rPr>
        <w:t xml:space="preserve"> with traditional Medicaid benefits</w:t>
      </w:r>
      <w:r>
        <w:rPr>
          <w:rFonts w:ascii="Times New Roman" w:hAnsi="Times New Roman"/>
          <w:sz w:val="24"/>
          <w:szCs w:val="24"/>
        </w:rPr>
        <w:t xml:space="preserve">. The population estimate was broken into three sets of numbers: a high estimate, a low estimate, and an average of the high and low estimates. </w:t>
      </w:r>
      <w:r w:rsidR="0030336E">
        <w:rPr>
          <w:rFonts w:ascii="Times New Roman" w:hAnsi="Times New Roman"/>
          <w:sz w:val="24"/>
          <w:szCs w:val="24"/>
        </w:rPr>
        <w:t xml:space="preserve">The average is used to model the costs and savings for this scenario.  </w:t>
      </w:r>
      <w:r>
        <w:rPr>
          <w:rFonts w:ascii="Times New Roman" w:hAnsi="Times New Roman"/>
          <w:sz w:val="24"/>
          <w:szCs w:val="24"/>
        </w:rPr>
        <w:t xml:space="preserve">The population estimate methodology is described in more detail in this report. </w:t>
      </w:r>
    </w:p>
    <w:p w:rsidR="00D63ED8" w:rsidRDefault="00D63ED8"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r>
        <w:rPr>
          <w:rFonts w:ascii="Times New Roman" w:hAnsi="Times New Roman"/>
          <w:sz w:val="24"/>
          <w:szCs w:val="24"/>
        </w:rPr>
        <w:t xml:space="preserve">Please note that no children will be enrolled due to the Optional Expansion, but instead are considered only in Scenario </w:t>
      </w:r>
      <w:r w:rsidR="002B6DB5">
        <w:rPr>
          <w:rFonts w:ascii="Times New Roman" w:hAnsi="Times New Roman"/>
          <w:sz w:val="24"/>
          <w:szCs w:val="24"/>
        </w:rPr>
        <w:t>1</w:t>
      </w:r>
      <w:r>
        <w:rPr>
          <w:rFonts w:ascii="Times New Roman" w:hAnsi="Times New Roman"/>
          <w:sz w:val="24"/>
          <w:szCs w:val="24"/>
        </w:rPr>
        <w:t xml:space="preserve"> – no expansion, just woodwork effect</w:t>
      </w:r>
      <w:r w:rsidR="00CC1830">
        <w:rPr>
          <w:rFonts w:ascii="Times New Roman" w:hAnsi="Times New Roman"/>
          <w:sz w:val="24"/>
          <w:szCs w:val="24"/>
        </w:rPr>
        <w:t xml:space="preserve"> and mandatory expansion</w:t>
      </w:r>
      <w:r>
        <w:rPr>
          <w:rFonts w:ascii="Times New Roman" w:hAnsi="Times New Roman"/>
          <w:sz w:val="24"/>
          <w:szCs w:val="24"/>
        </w:rPr>
        <w:t>.</w:t>
      </w:r>
    </w:p>
    <w:p w:rsidR="000E5B7A" w:rsidRDefault="000E5B7A" w:rsidP="000E5B7A">
      <w:pPr>
        <w:spacing w:after="0" w:line="240" w:lineRule="auto"/>
        <w:rPr>
          <w:rFonts w:ascii="Times New Roman" w:hAnsi="Times New Roman"/>
          <w:sz w:val="24"/>
          <w:szCs w:val="24"/>
        </w:rPr>
      </w:pPr>
    </w:p>
    <w:p w:rsidR="000E5B7A" w:rsidRDefault="00D94B1E" w:rsidP="000E5B7A">
      <w:pPr>
        <w:spacing w:after="0" w:line="240" w:lineRule="auto"/>
        <w:rPr>
          <w:rFonts w:ascii="Times New Roman" w:hAnsi="Times New Roman"/>
          <w:sz w:val="24"/>
          <w:szCs w:val="24"/>
        </w:rPr>
      </w:pPr>
      <w:r w:rsidRPr="00D94B1E">
        <w:rPr>
          <w:noProof/>
          <w:szCs w:val="24"/>
          <w:lang w:eastAsia="en-US"/>
        </w:rPr>
        <w:drawing>
          <wp:inline distT="0" distB="0" distL="0" distR="0">
            <wp:extent cx="9509760" cy="2021211"/>
            <wp:effectExtent l="19050" t="0" r="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9509760" cy="2021211"/>
                    </a:xfrm>
                    <a:prstGeom prst="rect">
                      <a:avLst/>
                    </a:prstGeom>
                    <a:noFill/>
                    <a:ln w="9525">
                      <a:noFill/>
                      <a:miter lim="800000"/>
                      <a:headEnd/>
                      <a:tailEnd/>
                    </a:ln>
                  </pic:spPr>
                </pic:pic>
              </a:graphicData>
            </a:graphic>
          </wp:inline>
        </w:drawing>
      </w:r>
    </w:p>
    <w:p w:rsidR="000E5B7A" w:rsidRDefault="000E5B7A" w:rsidP="000E5B7A">
      <w:pPr>
        <w:spacing w:after="0" w:line="240" w:lineRule="auto"/>
        <w:rPr>
          <w:rFonts w:ascii="Times New Roman" w:hAnsi="Times New Roman"/>
          <w:sz w:val="24"/>
          <w:szCs w:val="24"/>
        </w:rPr>
      </w:pPr>
    </w:p>
    <w:p w:rsidR="000E5B7A" w:rsidRDefault="000E5B7A" w:rsidP="000E5B7A">
      <w:pPr>
        <w:spacing w:after="0" w:line="240" w:lineRule="auto"/>
        <w:rPr>
          <w:noProof/>
          <w:szCs w:val="24"/>
          <w:lang w:eastAsia="en-US"/>
        </w:rPr>
      </w:pPr>
    </w:p>
    <w:p w:rsidR="00D94B1E" w:rsidRDefault="00D94B1E" w:rsidP="000E5B7A">
      <w:pPr>
        <w:spacing w:after="0" w:line="240" w:lineRule="auto"/>
        <w:rPr>
          <w:noProof/>
          <w:szCs w:val="24"/>
          <w:lang w:eastAsia="en-US"/>
        </w:rPr>
      </w:pPr>
    </w:p>
    <w:p w:rsidR="00D94B1E" w:rsidRDefault="00D94B1E" w:rsidP="000E5B7A">
      <w:pPr>
        <w:spacing w:after="0" w:line="240" w:lineRule="auto"/>
        <w:rPr>
          <w:noProof/>
          <w:szCs w:val="24"/>
          <w:lang w:eastAsia="en-US"/>
        </w:rPr>
      </w:pPr>
    </w:p>
    <w:p w:rsidR="00D94B1E" w:rsidRDefault="00D94B1E" w:rsidP="000E5B7A">
      <w:pPr>
        <w:spacing w:after="0" w:line="240" w:lineRule="auto"/>
        <w:rPr>
          <w:noProof/>
          <w:szCs w:val="24"/>
          <w:lang w:eastAsia="en-US"/>
        </w:rPr>
      </w:pPr>
    </w:p>
    <w:p w:rsidR="00D94B1E" w:rsidRDefault="00D94B1E" w:rsidP="000E5B7A">
      <w:pPr>
        <w:spacing w:after="0" w:line="240" w:lineRule="auto"/>
        <w:rPr>
          <w:noProof/>
          <w:szCs w:val="24"/>
          <w:lang w:eastAsia="en-US"/>
        </w:rPr>
      </w:pPr>
    </w:p>
    <w:p w:rsidR="00D94B1E" w:rsidRDefault="00D94B1E" w:rsidP="000E5B7A">
      <w:pPr>
        <w:spacing w:after="0" w:line="240" w:lineRule="auto"/>
        <w:rPr>
          <w:noProof/>
          <w:szCs w:val="24"/>
          <w:lang w:eastAsia="en-US"/>
        </w:rPr>
      </w:pPr>
    </w:p>
    <w:p w:rsidR="00D94B1E" w:rsidRDefault="00D94B1E" w:rsidP="000E5B7A">
      <w:pPr>
        <w:spacing w:after="0" w:line="240" w:lineRule="auto"/>
        <w:rPr>
          <w:noProof/>
          <w:szCs w:val="24"/>
          <w:lang w:eastAsia="en-US"/>
        </w:rPr>
      </w:pPr>
    </w:p>
    <w:p w:rsidR="00D94B1E" w:rsidRDefault="00D94B1E" w:rsidP="000E5B7A">
      <w:pPr>
        <w:spacing w:after="0" w:line="240" w:lineRule="auto"/>
        <w:rPr>
          <w:noProof/>
          <w:szCs w:val="24"/>
          <w:lang w:eastAsia="en-US"/>
        </w:rPr>
      </w:pPr>
    </w:p>
    <w:p w:rsidR="00D94B1E" w:rsidRDefault="00D94B1E" w:rsidP="000E5B7A">
      <w:pPr>
        <w:spacing w:after="0" w:line="240" w:lineRule="auto"/>
        <w:rPr>
          <w:rFonts w:ascii="Times New Roman" w:hAnsi="Times New Roman"/>
          <w:b/>
          <w:noProof/>
          <w:szCs w:val="24"/>
          <w:lang w:eastAsia="en-US"/>
        </w:rPr>
      </w:pPr>
      <w:r w:rsidRPr="003C4FFC">
        <w:rPr>
          <w:rFonts w:ascii="Times New Roman" w:hAnsi="Times New Roman"/>
          <w:b/>
          <w:noProof/>
          <w:szCs w:val="24"/>
          <w:lang w:eastAsia="en-US"/>
        </w:rPr>
        <w:lastRenderedPageBreak/>
        <w:t xml:space="preserve">Scenario </w:t>
      </w:r>
      <w:r w:rsidR="002B6DB5" w:rsidRPr="003C4FFC">
        <w:rPr>
          <w:rFonts w:ascii="Times New Roman" w:hAnsi="Times New Roman"/>
          <w:b/>
          <w:noProof/>
          <w:szCs w:val="24"/>
          <w:lang w:eastAsia="en-US"/>
        </w:rPr>
        <w:t>4</w:t>
      </w:r>
      <w:r w:rsidRPr="003C4FFC">
        <w:rPr>
          <w:rFonts w:ascii="Times New Roman" w:hAnsi="Times New Roman"/>
          <w:b/>
          <w:noProof/>
          <w:szCs w:val="24"/>
          <w:lang w:eastAsia="en-US"/>
        </w:rPr>
        <w:t xml:space="preserve"> Balance Sheet</w:t>
      </w:r>
    </w:p>
    <w:p w:rsidR="00194905" w:rsidRDefault="00194905" w:rsidP="000E5B7A">
      <w:pPr>
        <w:spacing w:after="0" w:line="240" w:lineRule="auto"/>
        <w:rPr>
          <w:rFonts w:ascii="Times New Roman" w:hAnsi="Times New Roman"/>
          <w:b/>
          <w:noProof/>
          <w:szCs w:val="24"/>
          <w:lang w:eastAsia="en-US"/>
        </w:rPr>
      </w:pPr>
    </w:p>
    <w:p w:rsidR="00194905" w:rsidRDefault="00194905" w:rsidP="00194905">
      <w:pPr>
        <w:spacing w:after="0" w:line="240" w:lineRule="auto"/>
        <w:jc w:val="center"/>
        <w:rPr>
          <w:rFonts w:ascii="Times New Roman" w:hAnsi="Times New Roman"/>
          <w:b/>
          <w:noProof/>
          <w:szCs w:val="24"/>
          <w:lang w:eastAsia="en-US"/>
        </w:rPr>
      </w:pPr>
      <w:r w:rsidRPr="00194905">
        <w:rPr>
          <w:noProof/>
          <w:szCs w:val="24"/>
          <w:lang w:eastAsia="en-US"/>
        </w:rPr>
        <w:drawing>
          <wp:inline distT="0" distB="0" distL="0" distR="0">
            <wp:extent cx="6976916" cy="4864141"/>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993810" cy="4875919"/>
                    </a:xfrm>
                    <a:prstGeom prst="rect">
                      <a:avLst/>
                    </a:prstGeom>
                    <a:noFill/>
                    <a:ln w="9525">
                      <a:noFill/>
                      <a:miter lim="800000"/>
                      <a:headEnd/>
                      <a:tailEnd/>
                    </a:ln>
                  </pic:spPr>
                </pic:pic>
              </a:graphicData>
            </a:graphic>
          </wp:inline>
        </w:drawing>
      </w:r>
    </w:p>
    <w:p w:rsidR="000E5B7A" w:rsidRPr="00770C38" w:rsidRDefault="000E5B7A" w:rsidP="000E5B7A">
      <w:pPr>
        <w:ind w:left="1170" w:hanging="1170"/>
        <w:rPr>
          <w:rFonts w:ascii="Times New Roman" w:hAnsi="Times New Roman"/>
          <w:b/>
          <w:sz w:val="24"/>
          <w:szCs w:val="24"/>
        </w:rPr>
      </w:pPr>
      <w:r w:rsidRPr="00770C38">
        <w:rPr>
          <w:rFonts w:ascii="Times New Roman" w:hAnsi="Times New Roman"/>
          <w:b/>
          <w:color w:val="548DD4" w:themeColor="text2" w:themeTint="99"/>
          <w:sz w:val="24"/>
          <w:szCs w:val="24"/>
        </w:rPr>
        <w:lastRenderedPageBreak/>
        <w:t xml:space="preserve">Scenario </w:t>
      </w:r>
      <w:r w:rsidR="002B6DB5">
        <w:rPr>
          <w:rFonts w:ascii="Times New Roman" w:hAnsi="Times New Roman"/>
          <w:b/>
          <w:color w:val="548DD4" w:themeColor="text2" w:themeTint="99"/>
          <w:sz w:val="24"/>
          <w:szCs w:val="24"/>
        </w:rPr>
        <w:t>5</w:t>
      </w:r>
      <w:r w:rsidRPr="00770C38">
        <w:rPr>
          <w:rFonts w:ascii="Times New Roman" w:hAnsi="Times New Roman"/>
          <w:b/>
          <w:color w:val="548DD4" w:themeColor="text2" w:themeTint="99"/>
          <w:sz w:val="24"/>
          <w:szCs w:val="24"/>
        </w:rPr>
        <w:t xml:space="preserve">: </w:t>
      </w:r>
      <w:r w:rsidRPr="00770C38">
        <w:rPr>
          <w:rFonts w:ascii="Times New Roman" w:hAnsi="Times New Roman"/>
          <w:b/>
          <w:sz w:val="24"/>
          <w:szCs w:val="24"/>
        </w:rPr>
        <w:t>Optional Expansion of Medicaid to 1</w:t>
      </w:r>
      <w:r>
        <w:rPr>
          <w:rFonts w:ascii="Times New Roman" w:hAnsi="Times New Roman"/>
          <w:b/>
          <w:sz w:val="24"/>
          <w:szCs w:val="24"/>
        </w:rPr>
        <w:t>00</w:t>
      </w:r>
      <w:r w:rsidRPr="00770C38">
        <w:rPr>
          <w:rFonts w:ascii="Times New Roman" w:hAnsi="Times New Roman"/>
          <w:b/>
          <w:sz w:val="24"/>
          <w:szCs w:val="24"/>
        </w:rPr>
        <w:t>% FPL with modeled Essential Health Benefits</w:t>
      </w:r>
    </w:p>
    <w:p w:rsidR="00D63ED8" w:rsidRDefault="000E5B7A" w:rsidP="000E5B7A">
      <w:pPr>
        <w:spacing w:after="0" w:line="240" w:lineRule="auto"/>
        <w:rPr>
          <w:rFonts w:ascii="Times New Roman" w:hAnsi="Times New Roman"/>
          <w:sz w:val="24"/>
          <w:szCs w:val="24"/>
        </w:rPr>
      </w:pPr>
      <w:r>
        <w:rPr>
          <w:rFonts w:ascii="Times New Roman" w:hAnsi="Times New Roman"/>
          <w:sz w:val="24"/>
          <w:szCs w:val="24"/>
        </w:rPr>
        <w:t xml:space="preserve">Scenario </w:t>
      </w:r>
      <w:r w:rsidR="002B6DB5">
        <w:rPr>
          <w:rFonts w:ascii="Times New Roman" w:hAnsi="Times New Roman"/>
          <w:sz w:val="24"/>
          <w:szCs w:val="24"/>
        </w:rPr>
        <w:t>5</w:t>
      </w:r>
      <w:r>
        <w:rPr>
          <w:rFonts w:ascii="Times New Roman" w:hAnsi="Times New Roman"/>
          <w:sz w:val="24"/>
          <w:szCs w:val="24"/>
        </w:rPr>
        <w:t xml:space="preserve"> also assumes a Medicaid expansion to only 100% FPL, but also utilizes an Essential Health Benefits-like cost structure. The population estimate was broken into three sets of numbers: a high estimate, a low estimate, and an average of the high and low estimates. </w:t>
      </w:r>
      <w:r w:rsidR="0030336E">
        <w:rPr>
          <w:rFonts w:ascii="Times New Roman" w:hAnsi="Times New Roman"/>
          <w:sz w:val="24"/>
          <w:szCs w:val="24"/>
        </w:rPr>
        <w:t xml:space="preserve">The average is used to model the costs and savings for this scenario.  </w:t>
      </w:r>
      <w:r>
        <w:rPr>
          <w:rFonts w:ascii="Times New Roman" w:hAnsi="Times New Roman"/>
          <w:sz w:val="24"/>
          <w:szCs w:val="24"/>
        </w:rPr>
        <w:t>The population</w:t>
      </w:r>
      <w:r w:rsidR="00C16FE6">
        <w:rPr>
          <w:rFonts w:ascii="Times New Roman" w:hAnsi="Times New Roman"/>
          <w:sz w:val="24"/>
          <w:szCs w:val="24"/>
        </w:rPr>
        <w:t xml:space="preserve"> data</w:t>
      </w:r>
      <w:r>
        <w:rPr>
          <w:rFonts w:ascii="Times New Roman" w:hAnsi="Times New Roman"/>
          <w:sz w:val="24"/>
          <w:szCs w:val="24"/>
        </w:rPr>
        <w:t xml:space="preserve"> estimat</w:t>
      </w:r>
      <w:r w:rsidR="00C16FE6">
        <w:rPr>
          <w:rFonts w:ascii="Times New Roman" w:hAnsi="Times New Roman"/>
          <w:sz w:val="24"/>
          <w:szCs w:val="24"/>
        </w:rPr>
        <w:t>ion</w:t>
      </w:r>
      <w:r>
        <w:rPr>
          <w:rFonts w:ascii="Times New Roman" w:hAnsi="Times New Roman"/>
          <w:sz w:val="24"/>
          <w:szCs w:val="24"/>
        </w:rPr>
        <w:t xml:space="preserve"> methodology is described in more detail in this report. </w:t>
      </w:r>
    </w:p>
    <w:p w:rsidR="00D63ED8" w:rsidRDefault="00D63ED8"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r>
        <w:rPr>
          <w:rFonts w:ascii="Times New Roman" w:hAnsi="Times New Roman"/>
          <w:sz w:val="24"/>
          <w:szCs w:val="24"/>
        </w:rPr>
        <w:t xml:space="preserve">Please note that no children will be enrolled due to the Optional Expansion, but instead are considered only in Scenario </w:t>
      </w:r>
      <w:r w:rsidR="002B6DB5">
        <w:rPr>
          <w:rFonts w:ascii="Times New Roman" w:hAnsi="Times New Roman"/>
          <w:sz w:val="24"/>
          <w:szCs w:val="24"/>
        </w:rPr>
        <w:t>1</w:t>
      </w:r>
      <w:r>
        <w:rPr>
          <w:rFonts w:ascii="Times New Roman" w:hAnsi="Times New Roman"/>
          <w:sz w:val="24"/>
          <w:szCs w:val="24"/>
        </w:rPr>
        <w:t xml:space="preserve"> – no expansion, just woodwork effect</w:t>
      </w:r>
      <w:r w:rsidR="00406C56">
        <w:rPr>
          <w:rFonts w:ascii="Times New Roman" w:hAnsi="Times New Roman"/>
          <w:sz w:val="24"/>
          <w:szCs w:val="24"/>
        </w:rPr>
        <w:t xml:space="preserve"> and mandatory expansion</w:t>
      </w:r>
      <w:r>
        <w:rPr>
          <w:rFonts w:ascii="Times New Roman" w:hAnsi="Times New Roman"/>
          <w:sz w:val="24"/>
          <w:szCs w:val="24"/>
        </w:rPr>
        <w:t>.</w:t>
      </w:r>
    </w:p>
    <w:p w:rsidR="000E5B7A" w:rsidRDefault="000E5B7A" w:rsidP="000E5B7A">
      <w:pPr>
        <w:spacing w:after="0" w:line="240" w:lineRule="auto"/>
        <w:rPr>
          <w:rFonts w:ascii="Times New Roman" w:hAnsi="Times New Roman"/>
          <w:sz w:val="24"/>
          <w:szCs w:val="24"/>
        </w:rPr>
      </w:pPr>
    </w:p>
    <w:p w:rsidR="003A01F6" w:rsidRDefault="003A01F6" w:rsidP="000E5B7A">
      <w:pPr>
        <w:spacing w:after="0" w:line="240" w:lineRule="auto"/>
        <w:rPr>
          <w:rFonts w:ascii="Times New Roman" w:hAnsi="Times New Roman"/>
          <w:sz w:val="24"/>
          <w:szCs w:val="24"/>
        </w:rPr>
      </w:pPr>
      <w:r w:rsidRPr="003A01F6">
        <w:rPr>
          <w:noProof/>
          <w:szCs w:val="24"/>
          <w:lang w:eastAsia="en-US"/>
        </w:rPr>
        <w:drawing>
          <wp:inline distT="0" distB="0" distL="0" distR="0">
            <wp:extent cx="9509760" cy="2021211"/>
            <wp:effectExtent l="19050" t="0" r="0" b="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9509760" cy="2021211"/>
                    </a:xfrm>
                    <a:prstGeom prst="rect">
                      <a:avLst/>
                    </a:prstGeom>
                    <a:noFill/>
                    <a:ln w="9525">
                      <a:noFill/>
                      <a:miter lim="800000"/>
                      <a:headEnd/>
                      <a:tailEnd/>
                    </a:ln>
                  </pic:spPr>
                </pic:pic>
              </a:graphicData>
            </a:graphic>
          </wp:inline>
        </w:drawing>
      </w:r>
    </w:p>
    <w:p w:rsidR="000E5B7A" w:rsidRDefault="000E5B7A"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p>
    <w:p w:rsidR="000E5B7A" w:rsidRDefault="000E5B7A" w:rsidP="000E5B7A">
      <w:pPr>
        <w:spacing w:after="0" w:line="240" w:lineRule="auto"/>
        <w:rPr>
          <w:rFonts w:ascii="Times New Roman" w:hAnsi="Times New Roman"/>
          <w:sz w:val="24"/>
          <w:szCs w:val="24"/>
        </w:rPr>
      </w:pPr>
    </w:p>
    <w:p w:rsidR="003A01F6" w:rsidRDefault="003A01F6" w:rsidP="000E5B7A">
      <w:pPr>
        <w:spacing w:after="0" w:line="240" w:lineRule="auto"/>
        <w:rPr>
          <w:noProof/>
          <w:szCs w:val="24"/>
          <w:lang w:eastAsia="en-US"/>
        </w:rPr>
      </w:pPr>
    </w:p>
    <w:p w:rsidR="003A01F6" w:rsidRDefault="003A01F6" w:rsidP="000E5B7A">
      <w:pPr>
        <w:spacing w:after="0" w:line="240" w:lineRule="auto"/>
        <w:rPr>
          <w:noProof/>
          <w:szCs w:val="24"/>
          <w:lang w:eastAsia="en-US"/>
        </w:rPr>
      </w:pPr>
    </w:p>
    <w:p w:rsidR="003A01F6" w:rsidRDefault="003A01F6" w:rsidP="000E5B7A">
      <w:pPr>
        <w:spacing w:after="0" w:line="240" w:lineRule="auto"/>
        <w:rPr>
          <w:noProof/>
          <w:szCs w:val="24"/>
          <w:lang w:eastAsia="en-US"/>
        </w:rPr>
      </w:pPr>
    </w:p>
    <w:p w:rsidR="003A01F6" w:rsidRDefault="003A01F6" w:rsidP="000E5B7A">
      <w:pPr>
        <w:spacing w:after="0" w:line="240" w:lineRule="auto"/>
        <w:rPr>
          <w:noProof/>
          <w:szCs w:val="24"/>
          <w:lang w:eastAsia="en-US"/>
        </w:rPr>
      </w:pPr>
    </w:p>
    <w:p w:rsidR="003A01F6" w:rsidRDefault="003A01F6" w:rsidP="000E5B7A">
      <w:pPr>
        <w:spacing w:after="0" w:line="240" w:lineRule="auto"/>
        <w:rPr>
          <w:noProof/>
          <w:szCs w:val="24"/>
          <w:lang w:eastAsia="en-US"/>
        </w:rPr>
      </w:pPr>
    </w:p>
    <w:p w:rsidR="003A01F6" w:rsidRDefault="003A01F6" w:rsidP="000E5B7A">
      <w:pPr>
        <w:spacing w:after="0" w:line="240" w:lineRule="auto"/>
        <w:rPr>
          <w:noProof/>
          <w:szCs w:val="24"/>
          <w:lang w:eastAsia="en-US"/>
        </w:rPr>
      </w:pPr>
    </w:p>
    <w:p w:rsidR="003A01F6" w:rsidRDefault="003C4FFC" w:rsidP="003C4FFC">
      <w:pPr>
        <w:tabs>
          <w:tab w:val="left" w:pos="375"/>
        </w:tabs>
        <w:spacing w:after="0" w:line="240" w:lineRule="auto"/>
        <w:rPr>
          <w:rFonts w:ascii="Times New Roman" w:hAnsi="Times New Roman"/>
          <w:b/>
          <w:sz w:val="24"/>
          <w:szCs w:val="24"/>
        </w:rPr>
      </w:pPr>
      <w:r w:rsidRPr="003C4FFC">
        <w:rPr>
          <w:rFonts w:ascii="Times New Roman" w:hAnsi="Times New Roman"/>
          <w:b/>
          <w:sz w:val="24"/>
          <w:szCs w:val="24"/>
        </w:rPr>
        <w:lastRenderedPageBreak/>
        <w:t>Scenario 5 Balance Sheet</w:t>
      </w:r>
    </w:p>
    <w:p w:rsidR="00194905" w:rsidRDefault="00194905" w:rsidP="003C4FFC">
      <w:pPr>
        <w:tabs>
          <w:tab w:val="left" w:pos="375"/>
        </w:tabs>
        <w:spacing w:after="0" w:line="240" w:lineRule="auto"/>
        <w:rPr>
          <w:rFonts w:ascii="Times New Roman" w:hAnsi="Times New Roman"/>
          <w:b/>
          <w:sz w:val="24"/>
          <w:szCs w:val="24"/>
        </w:rPr>
      </w:pPr>
    </w:p>
    <w:p w:rsidR="00194905" w:rsidRPr="00194905" w:rsidRDefault="00194905" w:rsidP="00194905">
      <w:pPr>
        <w:tabs>
          <w:tab w:val="left" w:pos="375"/>
        </w:tabs>
        <w:spacing w:after="0" w:line="240" w:lineRule="auto"/>
        <w:jc w:val="center"/>
        <w:rPr>
          <w:rFonts w:ascii="Times New Roman" w:hAnsi="Times New Roman"/>
          <w:sz w:val="24"/>
          <w:szCs w:val="24"/>
        </w:rPr>
      </w:pPr>
      <w:r w:rsidRPr="00194905">
        <w:rPr>
          <w:noProof/>
          <w:szCs w:val="24"/>
          <w:lang w:eastAsia="en-US"/>
        </w:rPr>
        <w:drawing>
          <wp:inline distT="0" distB="0" distL="0" distR="0">
            <wp:extent cx="6240471" cy="4655189"/>
            <wp:effectExtent l="19050" t="0" r="7929"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243717" cy="4657611"/>
                    </a:xfrm>
                    <a:prstGeom prst="rect">
                      <a:avLst/>
                    </a:prstGeom>
                    <a:noFill/>
                    <a:ln w="9525">
                      <a:noFill/>
                      <a:miter lim="800000"/>
                      <a:headEnd/>
                      <a:tailEnd/>
                    </a:ln>
                  </pic:spPr>
                </pic:pic>
              </a:graphicData>
            </a:graphic>
          </wp:inline>
        </w:drawing>
      </w:r>
    </w:p>
    <w:p w:rsidR="00AD5135" w:rsidRDefault="00AD5135" w:rsidP="000B25C0">
      <w:pPr>
        <w:spacing w:after="0" w:line="240" w:lineRule="auto"/>
        <w:rPr>
          <w:rFonts w:ascii="Times New Roman" w:hAnsi="Times New Roman"/>
          <w:color w:val="548DD4" w:themeColor="text2" w:themeTint="99"/>
          <w:sz w:val="24"/>
          <w:szCs w:val="24"/>
        </w:rPr>
      </w:pPr>
    </w:p>
    <w:p w:rsidR="009E7421" w:rsidRDefault="009E7421" w:rsidP="009E7421">
      <w:pPr>
        <w:spacing w:after="0" w:line="240" w:lineRule="auto"/>
        <w:jc w:val="center"/>
        <w:rPr>
          <w:rFonts w:ascii="Times New Roman" w:hAnsi="Times New Roman"/>
          <w:color w:val="548DD4" w:themeColor="text2" w:themeTint="99"/>
          <w:sz w:val="24"/>
          <w:szCs w:val="24"/>
        </w:rPr>
        <w:sectPr w:rsidR="009E7421" w:rsidSect="000E5B7A">
          <w:headerReference w:type="default" r:id="rId22"/>
          <w:footerReference w:type="default" r:id="rId23"/>
          <w:pgSz w:w="15840" w:h="12240" w:orient="landscape"/>
          <w:pgMar w:top="1440" w:right="576" w:bottom="1440" w:left="288" w:header="720" w:footer="720" w:gutter="0"/>
          <w:cols w:space="720"/>
          <w:docGrid w:linePitch="360"/>
        </w:sectPr>
      </w:pPr>
    </w:p>
    <w:p w:rsidR="001B3A16" w:rsidRPr="000B25C0" w:rsidRDefault="001B3A16" w:rsidP="000B25C0">
      <w:pPr>
        <w:spacing w:after="0" w:line="240" w:lineRule="auto"/>
        <w:rPr>
          <w:rFonts w:ascii="Times New Roman" w:hAnsi="Times New Roman"/>
          <w:b/>
          <w:color w:val="548DD4" w:themeColor="text2" w:themeTint="99"/>
          <w:sz w:val="28"/>
          <w:szCs w:val="24"/>
        </w:rPr>
      </w:pPr>
      <w:r w:rsidRPr="001B3A16">
        <w:rPr>
          <w:rFonts w:ascii="Times New Roman" w:hAnsi="Times New Roman"/>
          <w:b/>
          <w:color w:val="548DD4" w:themeColor="text2" w:themeTint="99"/>
          <w:sz w:val="28"/>
          <w:szCs w:val="24"/>
        </w:rPr>
        <w:lastRenderedPageBreak/>
        <w:t>PCG-MESM Assumptions and Modeling</w:t>
      </w:r>
    </w:p>
    <w:p w:rsidR="000B25C0" w:rsidRDefault="000B25C0" w:rsidP="001878E1">
      <w:pPr>
        <w:spacing w:after="0"/>
        <w:rPr>
          <w:rFonts w:ascii="Times New Roman" w:hAnsi="Times New Roman"/>
          <w:sz w:val="24"/>
          <w:szCs w:val="24"/>
        </w:rPr>
      </w:pPr>
    </w:p>
    <w:p w:rsidR="00A93C6F" w:rsidRDefault="00A93C6F" w:rsidP="001878E1">
      <w:pPr>
        <w:spacing w:after="0"/>
        <w:rPr>
          <w:rFonts w:ascii="Times New Roman" w:hAnsi="Times New Roman"/>
          <w:sz w:val="24"/>
          <w:szCs w:val="24"/>
        </w:rPr>
      </w:pPr>
      <w:r>
        <w:rPr>
          <w:rFonts w:ascii="Times New Roman" w:hAnsi="Times New Roman"/>
          <w:sz w:val="24"/>
          <w:szCs w:val="24"/>
        </w:rPr>
        <w:t>T</w:t>
      </w:r>
      <w:r w:rsidRPr="00A93C6F">
        <w:rPr>
          <w:rFonts w:ascii="Times New Roman" w:hAnsi="Times New Roman"/>
          <w:sz w:val="24"/>
          <w:szCs w:val="24"/>
        </w:rPr>
        <w:t>he Public Consulting Group Medicaid Expansio</w:t>
      </w:r>
      <w:r>
        <w:rPr>
          <w:rFonts w:ascii="Times New Roman" w:hAnsi="Times New Roman"/>
          <w:sz w:val="24"/>
          <w:szCs w:val="24"/>
        </w:rPr>
        <w:t xml:space="preserve">n Simulation Model (PCG-MESM) is the foundation of this analysis. Two main sources of data were inputted into the model in order to generate results: data from the </w:t>
      </w:r>
      <w:r w:rsidRPr="00A93C6F">
        <w:rPr>
          <w:rFonts w:ascii="Times New Roman" w:hAnsi="Times New Roman"/>
          <w:sz w:val="24"/>
          <w:szCs w:val="24"/>
        </w:rPr>
        <w:t xml:space="preserve">March 2012 Annual Social Economic (ASEC) supplement to the 2012 </w:t>
      </w:r>
      <w:r>
        <w:rPr>
          <w:rFonts w:ascii="Times New Roman" w:hAnsi="Times New Roman"/>
          <w:sz w:val="24"/>
          <w:szCs w:val="24"/>
        </w:rPr>
        <w:t>Current Population Survey (CPS) and</w:t>
      </w:r>
      <w:r w:rsidR="00183589">
        <w:rPr>
          <w:rFonts w:ascii="Times New Roman" w:hAnsi="Times New Roman"/>
          <w:sz w:val="24"/>
          <w:szCs w:val="24"/>
        </w:rPr>
        <w:t xml:space="preserve"> data</w:t>
      </w:r>
      <w:r>
        <w:rPr>
          <w:rFonts w:ascii="Times New Roman" w:hAnsi="Times New Roman"/>
          <w:sz w:val="24"/>
          <w:szCs w:val="24"/>
        </w:rPr>
        <w:t xml:space="preserve"> from the state of Utah, particularly from the Department of Health </w:t>
      </w:r>
      <w:r w:rsidR="005B7E5E">
        <w:rPr>
          <w:rFonts w:ascii="Times New Roman" w:hAnsi="Times New Roman"/>
          <w:sz w:val="24"/>
          <w:szCs w:val="24"/>
        </w:rPr>
        <w:t xml:space="preserve">(DOH) </w:t>
      </w:r>
      <w:r>
        <w:rPr>
          <w:rFonts w:ascii="Times New Roman" w:hAnsi="Times New Roman"/>
          <w:sz w:val="24"/>
          <w:szCs w:val="24"/>
        </w:rPr>
        <w:t>and the Department of Workforce Services</w:t>
      </w:r>
      <w:r w:rsidR="00A24DD3">
        <w:rPr>
          <w:rFonts w:ascii="Times New Roman" w:hAnsi="Times New Roman"/>
          <w:sz w:val="24"/>
          <w:szCs w:val="24"/>
        </w:rPr>
        <w:t xml:space="preserve"> (DWS)</w:t>
      </w:r>
      <w:r>
        <w:rPr>
          <w:rFonts w:ascii="Times New Roman" w:hAnsi="Times New Roman"/>
          <w:sz w:val="24"/>
          <w:szCs w:val="24"/>
        </w:rPr>
        <w:t>.</w:t>
      </w:r>
    </w:p>
    <w:p w:rsidR="00A61E72" w:rsidRDefault="00A61E72" w:rsidP="001878E1">
      <w:pPr>
        <w:spacing w:after="0"/>
        <w:rPr>
          <w:rFonts w:ascii="Times New Roman" w:hAnsi="Times New Roman"/>
          <w:sz w:val="24"/>
          <w:szCs w:val="24"/>
        </w:rPr>
      </w:pPr>
    </w:p>
    <w:p w:rsidR="00A61E72" w:rsidRDefault="00A61E72" w:rsidP="001878E1">
      <w:pPr>
        <w:spacing w:after="0"/>
        <w:rPr>
          <w:rFonts w:ascii="Times New Roman" w:hAnsi="Times New Roman"/>
          <w:sz w:val="24"/>
          <w:szCs w:val="24"/>
        </w:rPr>
      </w:pPr>
      <w:r>
        <w:rPr>
          <w:rFonts w:ascii="Times New Roman" w:hAnsi="Times New Roman"/>
          <w:sz w:val="24"/>
          <w:szCs w:val="24"/>
        </w:rPr>
        <w:t xml:space="preserve">Data from the CPS source is all Utah specific.  The CPS is part of the United States Census and thus data for each state </w:t>
      </w:r>
      <w:r w:rsidR="00F87D27">
        <w:rPr>
          <w:rFonts w:ascii="Times New Roman" w:hAnsi="Times New Roman"/>
          <w:sz w:val="24"/>
          <w:szCs w:val="24"/>
        </w:rPr>
        <w:t>is the building block for the national figures</w:t>
      </w:r>
      <w:r>
        <w:rPr>
          <w:rFonts w:ascii="Times New Roman" w:hAnsi="Times New Roman"/>
          <w:sz w:val="24"/>
          <w:szCs w:val="24"/>
        </w:rPr>
        <w:t>.  All data used for population modeling purposes is specific to the state of Utah and not extrapolated from national figures.</w:t>
      </w:r>
      <w:r w:rsidR="00F87D27">
        <w:rPr>
          <w:rFonts w:ascii="Times New Roman" w:hAnsi="Times New Roman"/>
          <w:sz w:val="24"/>
          <w:szCs w:val="24"/>
        </w:rPr>
        <w:t xml:space="preserve">  The national figures themselves are a combination of the state specific data.</w:t>
      </w:r>
    </w:p>
    <w:p w:rsidR="00A93C6F" w:rsidRDefault="00A93C6F">
      <w:pPr>
        <w:spacing w:after="0" w:line="240" w:lineRule="auto"/>
        <w:rPr>
          <w:rFonts w:ascii="Times New Roman" w:hAnsi="Times New Roman"/>
          <w:sz w:val="24"/>
          <w:szCs w:val="24"/>
        </w:rPr>
      </w:pPr>
    </w:p>
    <w:p w:rsidR="00A93C6F" w:rsidRPr="00A93C6F" w:rsidRDefault="00A93C6F">
      <w:pPr>
        <w:spacing w:after="0" w:line="240" w:lineRule="auto"/>
        <w:rPr>
          <w:rFonts w:ascii="Times New Roman" w:hAnsi="Times New Roman"/>
          <w:b/>
          <w:sz w:val="24"/>
          <w:szCs w:val="24"/>
        </w:rPr>
      </w:pPr>
      <w:r w:rsidRPr="00A93C6F">
        <w:rPr>
          <w:rFonts w:ascii="Times New Roman" w:hAnsi="Times New Roman"/>
          <w:b/>
          <w:sz w:val="24"/>
          <w:szCs w:val="24"/>
        </w:rPr>
        <w:t>Current Population Survey Data</w:t>
      </w:r>
    </w:p>
    <w:p w:rsidR="00A93C6F" w:rsidRDefault="00A93C6F">
      <w:pPr>
        <w:spacing w:after="0" w:line="240" w:lineRule="auto"/>
        <w:rPr>
          <w:rFonts w:ascii="Times New Roman" w:hAnsi="Times New Roman"/>
          <w:sz w:val="24"/>
          <w:szCs w:val="24"/>
        </w:rPr>
      </w:pPr>
    </w:p>
    <w:p w:rsidR="00A93C6F" w:rsidRPr="00A93C6F" w:rsidRDefault="00A93C6F" w:rsidP="00A93C6F">
      <w:pPr>
        <w:rPr>
          <w:rFonts w:ascii="Times New Roman" w:hAnsi="Times New Roman"/>
          <w:sz w:val="24"/>
          <w:szCs w:val="24"/>
        </w:rPr>
      </w:pPr>
      <w:r>
        <w:rPr>
          <w:rFonts w:ascii="Times New Roman" w:hAnsi="Times New Roman"/>
          <w:sz w:val="24"/>
          <w:szCs w:val="24"/>
        </w:rPr>
        <w:t xml:space="preserve">Demographic data for the PCG-MESM, including statistics on the uninsured, Medicaid populations, and Federal Poverty Level (FPL) splits comes from the </w:t>
      </w:r>
      <w:r w:rsidRPr="00A93C6F">
        <w:rPr>
          <w:rFonts w:ascii="Times New Roman" w:hAnsi="Times New Roman"/>
          <w:sz w:val="24"/>
          <w:szCs w:val="24"/>
        </w:rPr>
        <w:t xml:space="preserve">March 2012 Annual Social Economic (ASEC) supplement to the 2012 Current Population Survey (CPS), administered by the United States Census Bureau.  The ASEC is a supplement to the CPS survey that covers more than 75,000 additional households and provides further detail into social, income, and economic statistical data.  Data from the March 2012 ASEC supplement is collected directly from </w:t>
      </w:r>
      <w:r>
        <w:rPr>
          <w:rFonts w:ascii="Times New Roman" w:hAnsi="Times New Roman"/>
          <w:sz w:val="24"/>
          <w:szCs w:val="24"/>
        </w:rPr>
        <w:t>two</w:t>
      </w:r>
      <w:r w:rsidRPr="00A93C6F">
        <w:rPr>
          <w:rFonts w:ascii="Times New Roman" w:hAnsi="Times New Roman"/>
          <w:sz w:val="24"/>
          <w:szCs w:val="24"/>
        </w:rPr>
        <w:t xml:space="preserve"> separate sources: the Current Population Survey Table Creator and the State Health Access Data Assistance Center (SHADAC).  Both of these query tools collect data from the ASEC supplement with differing levels of granularity. The SHADAC data tool has the ability to query data from 0 – 138% of the Federal Poverty Level (FPL) in addition to 0 – 400</w:t>
      </w:r>
      <w:r w:rsidR="00A24DD3">
        <w:rPr>
          <w:rFonts w:ascii="Times New Roman" w:hAnsi="Times New Roman"/>
          <w:sz w:val="24"/>
          <w:szCs w:val="24"/>
        </w:rPr>
        <w:t>+</w:t>
      </w:r>
      <w:r w:rsidRPr="00A93C6F">
        <w:rPr>
          <w:rFonts w:ascii="Times New Roman" w:hAnsi="Times New Roman"/>
          <w:sz w:val="24"/>
          <w:szCs w:val="24"/>
        </w:rPr>
        <w:t>% FPL. The CPS Table Creator has the ability to query data only on the 0 – 100% FPL level.</w:t>
      </w:r>
    </w:p>
    <w:p w:rsidR="00A93C6F" w:rsidRPr="00A93C6F" w:rsidRDefault="00A93C6F" w:rsidP="00A93C6F">
      <w:pPr>
        <w:rPr>
          <w:rFonts w:ascii="Times New Roman" w:hAnsi="Times New Roman"/>
          <w:sz w:val="24"/>
          <w:szCs w:val="24"/>
        </w:rPr>
      </w:pPr>
      <w:r w:rsidRPr="00A93C6F">
        <w:rPr>
          <w:rFonts w:ascii="Times New Roman" w:hAnsi="Times New Roman"/>
          <w:sz w:val="24"/>
          <w:szCs w:val="24"/>
        </w:rPr>
        <w:t>In order to provide the most accurate data and incorporate the smallest level of assumptions possible, Public Consulting Group relied on both the CPS Table Creator and the SHADAC query tool to pull our baseline data figures.  Three population categories at these FPL levels were created: Uninsured, Medicaid Eligible, and Private Insurance</w:t>
      </w:r>
      <w:r>
        <w:rPr>
          <w:rFonts w:ascii="Times New Roman" w:hAnsi="Times New Roman"/>
          <w:sz w:val="24"/>
          <w:szCs w:val="24"/>
        </w:rPr>
        <w:t>.</w:t>
      </w:r>
    </w:p>
    <w:p w:rsidR="00A24DD3" w:rsidRDefault="00A24DD3" w:rsidP="00A93C6F">
      <w:pPr>
        <w:rPr>
          <w:rFonts w:ascii="Times New Roman" w:hAnsi="Times New Roman"/>
          <w:sz w:val="24"/>
          <w:szCs w:val="24"/>
        </w:rPr>
      </w:pPr>
    </w:p>
    <w:p w:rsidR="00A24DD3" w:rsidRDefault="00A24DD3" w:rsidP="00A93C6F">
      <w:pPr>
        <w:rPr>
          <w:rFonts w:ascii="Times New Roman" w:hAnsi="Times New Roman"/>
          <w:sz w:val="24"/>
          <w:szCs w:val="24"/>
        </w:rPr>
      </w:pPr>
    </w:p>
    <w:p w:rsidR="00A24DD3" w:rsidRDefault="00A24DD3" w:rsidP="00A93C6F">
      <w:pPr>
        <w:rPr>
          <w:rFonts w:ascii="Times New Roman" w:hAnsi="Times New Roman"/>
          <w:sz w:val="24"/>
          <w:szCs w:val="24"/>
        </w:rPr>
      </w:pPr>
    </w:p>
    <w:p w:rsidR="00A24DD3" w:rsidRDefault="00A93C6F" w:rsidP="00A24DD3">
      <w:pPr>
        <w:rPr>
          <w:rFonts w:ascii="Times New Roman" w:hAnsi="Times New Roman"/>
          <w:sz w:val="24"/>
          <w:szCs w:val="24"/>
        </w:rPr>
      </w:pPr>
      <w:r>
        <w:rPr>
          <w:rFonts w:ascii="Times New Roman" w:hAnsi="Times New Roman"/>
          <w:sz w:val="24"/>
          <w:szCs w:val="24"/>
        </w:rPr>
        <w:lastRenderedPageBreak/>
        <w:t>Since t</w:t>
      </w:r>
      <w:r w:rsidRPr="00A93C6F">
        <w:rPr>
          <w:rFonts w:ascii="Times New Roman" w:hAnsi="Times New Roman"/>
          <w:sz w:val="24"/>
          <w:szCs w:val="24"/>
        </w:rPr>
        <w:t>he CPS data does not provide counts of adults with and without children</w:t>
      </w:r>
      <w:r w:rsidR="009E37F3">
        <w:rPr>
          <w:rFonts w:ascii="Times New Roman" w:hAnsi="Times New Roman"/>
          <w:sz w:val="24"/>
          <w:szCs w:val="24"/>
        </w:rPr>
        <w:t>,</w:t>
      </w:r>
      <w:r w:rsidRPr="00A93C6F">
        <w:rPr>
          <w:rFonts w:ascii="Times New Roman" w:hAnsi="Times New Roman"/>
          <w:sz w:val="24"/>
          <w:szCs w:val="24"/>
        </w:rPr>
        <w:t xml:space="preserve"> PCG utilized the SHADAC data to arrive at these percentages (see the table, below), which were then applied to the CPS data. </w:t>
      </w:r>
    </w:p>
    <w:p w:rsidR="00A24DD3" w:rsidRDefault="000D0AEC" w:rsidP="00A24DD3">
      <w:pPr>
        <w:jc w:val="center"/>
        <w:rPr>
          <w:rFonts w:ascii="Times New Roman" w:hAnsi="Times New Roman"/>
          <w:sz w:val="24"/>
          <w:szCs w:val="24"/>
        </w:rPr>
      </w:pPr>
      <w:r w:rsidRPr="000D0AEC">
        <w:rPr>
          <w:noProof/>
          <w:szCs w:val="24"/>
          <w:lang w:eastAsia="en-US"/>
        </w:rPr>
        <w:drawing>
          <wp:inline distT="0" distB="0" distL="0" distR="0">
            <wp:extent cx="4076700" cy="1371600"/>
            <wp:effectExtent l="19050" t="0" r="0" b="0"/>
            <wp:docPr id="1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a:stretch>
                      <a:fillRect/>
                    </a:stretch>
                  </pic:blipFill>
                  <pic:spPr bwMode="auto">
                    <a:xfrm>
                      <a:off x="0" y="0"/>
                      <a:ext cx="4076700" cy="1371600"/>
                    </a:xfrm>
                    <a:prstGeom prst="rect">
                      <a:avLst/>
                    </a:prstGeom>
                    <a:noFill/>
                    <a:ln w="9525">
                      <a:noFill/>
                      <a:miter lim="800000"/>
                      <a:headEnd/>
                      <a:tailEnd/>
                    </a:ln>
                  </pic:spPr>
                </pic:pic>
              </a:graphicData>
            </a:graphic>
          </wp:inline>
        </w:drawing>
      </w:r>
    </w:p>
    <w:p w:rsidR="00A93C6F" w:rsidRPr="00044F4E" w:rsidRDefault="00A93C6F" w:rsidP="00A93C6F">
      <w:pPr>
        <w:rPr>
          <w:rFonts w:ascii="Times New Roman" w:hAnsi="Times New Roman"/>
          <w:sz w:val="24"/>
          <w:szCs w:val="24"/>
        </w:rPr>
      </w:pPr>
      <w:r w:rsidRPr="00044F4E">
        <w:rPr>
          <w:rFonts w:ascii="Times New Roman" w:hAnsi="Times New Roman"/>
          <w:sz w:val="24"/>
          <w:szCs w:val="24"/>
        </w:rPr>
        <w:t>Inputting these data sources into the PCG-MESM produced the follow</w:t>
      </w:r>
      <w:r w:rsidR="00CA697E">
        <w:rPr>
          <w:rFonts w:ascii="Times New Roman" w:hAnsi="Times New Roman"/>
          <w:sz w:val="24"/>
          <w:szCs w:val="24"/>
        </w:rPr>
        <w:t>ing population estimates by FPL</w:t>
      </w:r>
      <w:r w:rsidRPr="00044F4E">
        <w:rPr>
          <w:rFonts w:ascii="Times New Roman" w:hAnsi="Times New Roman"/>
          <w:sz w:val="24"/>
          <w:szCs w:val="24"/>
        </w:rPr>
        <w:t xml:space="preserve"> </w:t>
      </w:r>
      <w:r w:rsidR="0024602E">
        <w:rPr>
          <w:rFonts w:ascii="Times New Roman" w:hAnsi="Times New Roman"/>
          <w:sz w:val="24"/>
          <w:szCs w:val="24"/>
        </w:rPr>
        <w:t xml:space="preserve">and </w:t>
      </w:r>
      <w:r w:rsidRPr="00044F4E">
        <w:rPr>
          <w:rFonts w:ascii="Times New Roman" w:hAnsi="Times New Roman"/>
          <w:sz w:val="24"/>
          <w:szCs w:val="24"/>
        </w:rPr>
        <w:t xml:space="preserve">population grouping. These estimates served as the PCG-MESM’s 2012 </w:t>
      </w:r>
      <w:r w:rsidR="00CA697E">
        <w:rPr>
          <w:rFonts w:ascii="Times New Roman" w:hAnsi="Times New Roman"/>
          <w:sz w:val="24"/>
          <w:szCs w:val="24"/>
        </w:rPr>
        <w:t xml:space="preserve">baseline </w:t>
      </w:r>
      <w:r w:rsidRPr="00044F4E">
        <w:rPr>
          <w:rFonts w:ascii="Times New Roman" w:hAnsi="Times New Roman"/>
          <w:sz w:val="24"/>
          <w:szCs w:val="24"/>
        </w:rPr>
        <w:t>estimate.</w:t>
      </w:r>
    </w:p>
    <w:p w:rsidR="00A93C6F" w:rsidRDefault="000D0AEC" w:rsidP="00A93C6F">
      <w:r w:rsidRPr="000D0AEC">
        <w:rPr>
          <w:noProof/>
          <w:lang w:eastAsia="en-US"/>
        </w:rPr>
        <w:drawing>
          <wp:inline distT="0" distB="0" distL="0" distR="0">
            <wp:extent cx="5800725" cy="3752850"/>
            <wp:effectExtent l="19050" t="0" r="9525" b="0"/>
            <wp:docPr id="10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srcRect/>
                    <a:stretch>
                      <a:fillRect/>
                    </a:stretch>
                  </pic:blipFill>
                  <pic:spPr bwMode="auto">
                    <a:xfrm>
                      <a:off x="0" y="0"/>
                      <a:ext cx="5800725" cy="3752850"/>
                    </a:xfrm>
                    <a:prstGeom prst="rect">
                      <a:avLst/>
                    </a:prstGeom>
                    <a:noFill/>
                    <a:ln w="9525">
                      <a:noFill/>
                      <a:miter lim="800000"/>
                      <a:headEnd/>
                      <a:tailEnd/>
                    </a:ln>
                  </pic:spPr>
                </pic:pic>
              </a:graphicData>
            </a:graphic>
          </wp:inline>
        </w:drawing>
      </w:r>
    </w:p>
    <w:p w:rsidR="00A93C6F" w:rsidRDefault="00A93C6F" w:rsidP="00A93C6F">
      <w:pPr>
        <w:rPr>
          <w:rFonts w:ascii="Times New Roman" w:hAnsi="Times New Roman"/>
          <w:sz w:val="24"/>
          <w:szCs w:val="24"/>
        </w:rPr>
      </w:pPr>
      <w:r w:rsidRPr="00044F4E">
        <w:rPr>
          <w:rFonts w:ascii="Times New Roman" w:hAnsi="Times New Roman"/>
          <w:sz w:val="24"/>
          <w:szCs w:val="24"/>
        </w:rPr>
        <w:t>The PCG-MESM then trend</w:t>
      </w:r>
      <w:r w:rsidR="0024602E">
        <w:rPr>
          <w:rFonts w:ascii="Times New Roman" w:hAnsi="Times New Roman"/>
          <w:sz w:val="24"/>
          <w:szCs w:val="24"/>
        </w:rPr>
        <w:t>ed</w:t>
      </w:r>
      <w:r w:rsidRPr="00044F4E">
        <w:rPr>
          <w:rFonts w:ascii="Times New Roman" w:hAnsi="Times New Roman"/>
          <w:sz w:val="24"/>
          <w:szCs w:val="24"/>
        </w:rPr>
        <w:t xml:space="preserve"> this 2012 number to arrive at the 2014, 2014-2016, and 2014-2023 population estimates. The PCG-MESM utilize</w:t>
      </w:r>
      <w:r w:rsidR="0024602E">
        <w:rPr>
          <w:rFonts w:ascii="Times New Roman" w:hAnsi="Times New Roman"/>
          <w:sz w:val="24"/>
          <w:szCs w:val="24"/>
        </w:rPr>
        <w:t>d</w:t>
      </w:r>
      <w:r w:rsidRPr="00044F4E">
        <w:rPr>
          <w:rFonts w:ascii="Times New Roman" w:hAnsi="Times New Roman"/>
          <w:sz w:val="24"/>
          <w:szCs w:val="24"/>
        </w:rPr>
        <w:t xml:space="preserve"> a linear regression to calculate </w:t>
      </w:r>
      <w:r w:rsidR="007A55D6">
        <w:rPr>
          <w:rFonts w:ascii="Times New Roman" w:hAnsi="Times New Roman"/>
          <w:sz w:val="24"/>
          <w:szCs w:val="24"/>
        </w:rPr>
        <w:t xml:space="preserve">future </w:t>
      </w:r>
      <w:r w:rsidRPr="00044F4E">
        <w:rPr>
          <w:rFonts w:ascii="Times New Roman" w:hAnsi="Times New Roman"/>
          <w:sz w:val="24"/>
          <w:szCs w:val="24"/>
        </w:rPr>
        <w:t xml:space="preserve">year estimates. </w:t>
      </w:r>
      <w:r w:rsidR="00280183" w:rsidRPr="00044F4E">
        <w:rPr>
          <w:rFonts w:ascii="Times New Roman" w:hAnsi="Times New Roman"/>
          <w:sz w:val="24"/>
          <w:szCs w:val="24"/>
        </w:rPr>
        <w:t xml:space="preserve">The trended Medicaid enrollment numbers were used in the Mandatory and Optional </w:t>
      </w:r>
      <w:r w:rsidR="00280183" w:rsidRPr="00044F4E">
        <w:rPr>
          <w:rFonts w:ascii="Times New Roman" w:hAnsi="Times New Roman"/>
          <w:sz w:val="24"/>
          <w:szCs w:val="24"/>
        </w:rPr>
        <w:lastRenderedPageBreak/>
        <w:t xml:space="preserve">sections of the model.  </w:t>
      </w:r>
      <w:r w:rsidRPr="00044F4E">
        <w:rPr>
          <w:rFonts w:ascii="Times New Roman" w:hAnsi="Times New Roman"/>
          <w:sz w:val="24"/>
          <w:szCs w:val="24"/>
        </w:rPr>
        <w:t xml:space="preserve">The population figures were trended utilizing </w:t>
      </w:r>
      <w:r w:rsidR="00044F4E">
        <w:rPr>
          <w:rFonts w:ascii="Times New Roman" w:hAnsi="Times New Roman"/>
          <w:sz w:val="24"/>
          <w:szCs w:val="24"/>
        </w:rPr>
        <w:t>five</w:t>
      </w:r>
      <w:r w:rsidRPr="00044F4E">
        <w:rPr>
          <w:rFonts w:ascii="Times New Roman" w:hAnsi="Times New Roman"/>
          <w:sz w:val="24"/>
          <w:szCs w:val="24"/>
        </w:rPr>
        <w:t xml:space="preserve"> year’s worth of Medicaid enrollment numbers from CPS (2007 – 2012).   </w:t>
      </w:r>
      <w:r w:rsidR="00280183">
        <w:rPr>
          <w:rFonts w:ascii="Times New Roman" w:hAnsi="Times New Roman"/>
          <w:sz w:val="24"/>
          <w:szCs w:val="24"/>
        </w:rPr>
        <w:t>Although t</w:t>
      </w:r>
      <w:r w:rsidRPr="00044F4E">
        <w:rPr>
          <w:rFonts w:ascii="Times New Roman" w:hAnsi="Times New Roman"/>
          <w:sz w:val="24"/>
          <w:szCs w:val="24"/>
        </w:rPr>
        <w:t>he “</w:t>
      </w:r>
      <w:r w:rsidR="0024602E">
        <w:rPr>
          <w:rFonts w:ascii="Times New Roman" w:hAnsi="Times New Roman"/>
          <w:sz w:val="24"/>
          <w:szCs w:val="24"/>
        </w:rPr>
        <w:t>w</w:t>
      </w:r>
      <w:r w:rsidRPr="00044F4E">
        <w:rPr>
          <w:rFonts w:ascii="Times New Roman" w:hAnsi="Times New Roman"/>
          <w:sz w:val="24"/>
          <w:szCs w:val="24"/>
        </w:rPr>
        <w:t xml:space="preserve">oodwork” section of the model utilizes the same linear regression approach, </w:t>
      </w:r>
      <w:r w:rsidR="00280183">
        <w:rPr>
          <w:rFonts w:ascii="Times New Roman" w:hAnsi="Times New Roman"/>
          <w:sz w:val="24"/>
          <w:szCs w:val="24"/>
        </w:rPr>
        <w:t>the</w:t>
      </w:r>
      <w:r w:rsidRPr="00044F4E">
        <w:rPr>
          <w:rFonts w:ascii="Times New Roman" w:hAnsi="Times New Roman"/>
          <w:sz w:val="24"/>
          <w:szCs w:val="24"/>
        </w:rPr>
        <w:t xml:space="preserve"> uninsured populations from CPS</w:t>
      </w:r>
      <w:r w:rsidR="00280183">
        <w:rPr>
          <w:rFonts w:ascii="Times New Roman" w:hAnsi="Times New Roman"/>
          <w:sz w:val="24"/>
          <w:szCs w:val="24"/>
        </w:rPr>
        <w:t xml:space="preserve"> were used as base data</w:t>
      </w:r>
      <w:r w:rsidRPr="00044F4E">
        <w:rPr>
          <w:rFonts w:ascii="Times New Roman" w:hAnsi="Times New Roman"/>
          <w:sz w:val="24"/>
          <w:szCs w:val="24"/>
        </w:rPr>
        <w:t xml:space="preserve">.  </w:t>
      </w:r>
      <w:r w:rsidR="00280183">
        <w:rPr>
          <w:rFonts w:ascii="Times New Roman" w:hAnsi="Times New Roman"/>
          <w:sz w:val="24"/>
          <w:szCs w:val="24"/>
        </w:rPr>
        <w:t>T</w:t>
      </w:r>
      <w:r w:rsidRPr="00044F4E">
        <w:rPr>
          <w:rFonts w:ascii="Times New Roman" w:hAnsi="Times New Roman"/>
          <w:sz w:val="24"/>
          <w:szCs w:val="24"/>
        </w:rPr>
        <w:t xml:space="preserve">he Adults with and without Dependent Children and Children populations were trended on 5 years of CPS data (2007 – 2012), for their respective FPL eligibility levels.  </w:t>
      </w:r>
    </w:p>
    <w:p w:rsidR="00B30DA1" w:rsidRDefault="00B30DA1" w:rsidP="00A93C6F">
      <w:pPr>
        <w:rPr>
          <w:rFonts w:ascii="Times New Roman" w:hAnsi="Times New Roman"/>
          <w:sz w:val="24"/>
          <w:szCs w:val="24"/>
        </w:rPr>
      </w:pPr>
      <w:r>
        <w:rPr>
          <w:rFonts w:ascii="Times New Roman" w:hAnsi="Times New Roman"/>
          <w:sz w:val="24"/>
          <w:szCs w:val="24"/>
        </w:rPr>
        <w:t>Once both current Medicaid and uninsured totals were created for future years using the t</w:t>
      </w:r>
      <w:r w:rsidR="00280183">
        <w:rPr>
          <w:rFonts w:ascii="Times New Roman" w:hAnsi="Times New Roman"/>
          <w:sz w:val="24"/>
          <w:szCs w:val="24"/>
        </w:rPr>
        <w:t>r</w:t>
      </w:r>
      <w:r>
        <w:rPr>
          <w:rFonts w:ascii="Times New Roman" w:hAnsi="Times New Roman"/>
          <w:sz w:val="24"/>
          <w:szCs w:val="24"/>
        </w:rPr>
        <w:t>ending methodology described above, “take up” rate and “lag” assumptions were applied.</w:t>
      </w:r>
    </w:p>
    <w:p w:rsidR="00B30DA1" w:rsidRDefault="00B30DA1" w:rsidP="00A93C6F">
      <w:pPr>
        <w:rPr>
          <w:rFonts w:ascii="Times New Roman" w:hAnsi="Times New Roman"/>
          <w:sz w:val="24"/>
          <w:szCs w:val="24"/>
        </w:rPr>
      </w:pPr>
      <w:r>
        <w:rPr>
          <w:rFonts w:ascii="Times New Roman" w:hAnsi="Times New Roman"/>
          <w:sz w:val="24"/>
          <w:szCs w:val="24"/>
        </w:rPr>
        <w:t>The take up rate refers to the amount of people who are eligible for a program that eventually apply for coverage and enroll in it. Experience shows that programs do not often reach total enrollment of all eligible individuals.  The charts in this report include “high” and “low” estimates for populations and costs.  These estimates are based on take up rates.  In order to create</w:t>
      </w:r>
      <w:r w:rsidR="00280183">
        <w:rPr>
          <w:rFonts w:ascii="Times New Roman" w:hAnsi="Times New Roman"/>
          <w:sz w:val="24"/>
          <w:szCs w:val="24"/>
        </w:rPr>
        <w:t xml:space="preserve"> and apply </w:t>
      </w:r>
      <w:r>
        <w:rPr>
          <w:rFonts w:ascii="Times New Roman" w:hAnsi="Times New Roman"/>
          <w:sz w:val="24"/>
          <w:szCs w:val="24"/>
        </w:rPr>
        <w:t xml:space="preserve">take up rate estimates, PCG analyzed the current available literature, included all valid studies, and then created an average high and low estimate.  Appendix I provides a chart summarizing these findings.  The high take up rate is </w:t>
      </w:r>
      <w:r w:rsidRPr="00DB11FF">
        <w:rPr>
          <w:rFonts w:ascii="Times New Roman" w:hAnsi="Times New Roman"/>
          <w:sz w:val="24"/>
          <w:szCs w:val="24"/>
        </w:rPr>
        <w:t xml:space="preserve">71.09% and the low take-up rate percentage is 48.66%.  </w:t>
      </w:r>
    </w:p>
    <w:p w:rsidR="00B30DA1" w:rsidRDefault="00B30DA1" w:rsidP="00A93C6F">
      <w:pPr>
        <w:rPr>
          <w:rFonts w:ascii="Times New Roman" w:hAnsi="Times New Roman"/>
          <w:sz w:val="24"/>
          <w:szCs w:val="24"/>
        </w:rPr>
      </w:pPr>
      <w:r>
        <w:rPr>
          <w:rFonts w:ascii="Times New Roman" w:hAnsi="Times New Roman"/>
          <w:sz w:val="24"/>
          <w:szCs w:val="24"/>
        </w:rPr>
        <w:t xml:space="preserve">In addition to these take up rates for the entire population, it is assumed that </w:t>
      </w:r>
      <w:r w:rsidR="005D7CC9">
        <w:rPr>
          <w:rFonts w:ascii="Times New Roman" w:hAnsi="Times New Roman"/>
          <w:sz w:val="24"/>
          <w:szCs w:val="24"/>
        </w:rPr>
        <w:t>n</w:t>
      </w:r>
      <w:r>
        <w:rPr>
          <w:rFonts w:ascii="Times New Roman" w:hAnsi="Times New Roman"/>
          <w:sz w:val="24"/>
          <w:szCs w:val="24"/>
        </w:rPr>
        <w:t xml:space="preserve">either take up rate will be immediately achieved.  Experience with past expansions indicates that a lag will occur as the program ramps up, and that full take up rates (either high or low) will not </w:t>
      </w:r>
      <w:r w:rsidR="005D7CC9">
        <w:rPr>
          <w:rFonts w:ascii="Times New Roman" w:hAnsi="Times New Roman"/>
          <w:sz w:val="24"/>
          <w:szCs w:val="24"/>
        </w:rPr>
        <w:t>occur</w:t>
      </w:r>
      <w:r>
        <w:rPr>
          <w:rFonts w:ascii="Times New Roman" w:hAnsi="Times New Roman"/>
          <w:sz w:val="24"/>
          <w:szCs w:val="24"/>
        </w:rPr>
        <w:t xml:space="preserve"> immediately. Past programs indicate a three year lag is most common.  In the first year, all charts assume 38% of all total eventual enrollees will be in the program, 97% in year two, and 100% in year three and all subsequent years.  In other words, in the high estimate of year one, of the total universe of potential enrollees, it is assumed 38% of 71% will enroll, with 97% of the 71% in year two, and 100% of the 71% in year three and later years.</w:t>
      </w:r>
    </w:p>
    <w:p w:rsidR="002557A3" w:rsidRDefault="002557A3">
      <w:pPr>
        <w:spacing w:after="0" w:line="240" w:lineRule="auto"/>
        <w:rPr>
          <w:rFonts w:ascii="Times New Roman" w:hAnsi="Times New Roman"/>
          <w:b/>
          <w:sz w:val="24"/>
          <w:szCs w:val="24"/>
        </w:rPr>
      </w:pPr>
      <w:r w:rsidRPr="002557A3">
        <w:rPr>
          <w:rFonts w:ascii="Times New Roman" w:hAnsi="Times New Roman"/>
          <w:b/>
          <w:sz w:val="24"/>
          <w:szCs w:val="24"/>
        </w:rPr>
        <w:t>Department of Health and Department of Workforce Services Data</w:t>
      </w:r>
    </w:p>
    <w:p w:rsidR="002557A3" w:rsidRDefault="002557A3">
      <w:pPr>
        <w:spacing w:after="0" w:line="240" w:lineRule="auto"/>
        <w:rPr>
          <w:rFonts w:ascii="Times New Roman" w:hAnsi="Times New Roman"/>
          <w:sz w:val="24"/>
          <w:szCs w:val="24"/>
        </w:rPr>
      </w:pPr>
    </w:p>
    <w:p w:rsidR="000C50EE" w:rsidRDefault="002557A3" w:rsidP="00EA516D">
      <w:pPr>
        <w:spacing w:after="0"/>
        <w:rPr>
          <w:rFonts w:ascii="Times New Roman" w:hAnsi="Times New Roman"/>
          <w:sz w:val="24"/>
          <w:szCs w:val="24"/>
        </w:rPr>
      </w:pPr>
      <w:r>
        <w:rPr>
          <w:rFonts w:ascii="Times New Roman" w:hAnsi="Times New Roman"/>
          <w:sz w:val="24"/>
          <w:szCs w:val="24"/>
        </w:rPr>
        <w:t>The Department of Health (DOH) and Department of Workforce Services (DWS) provided additional data that is used in the PCG-MESM.  DOH provide</w:t>
      </w:r>
      <w:r w:rsidR="00D21854">
        <w:rPr>
          <w:rFonts w:ascii="Times New Roman" w:hAnsi="Times New Roman"/>
          <w:sz w:val="24"/>
          <w:szCs w:val="24"/>
        </w:rPr>
        <w:t>d</w:t>
      </w:r>
      <w:r>
        <w:rPr>
          <w:rFonts w:ascii="Times New Roman" w:hAnsi="Times New Roman"/>
          <w:sz w:val="24"/>
          <w:szCs w:val="24"/>
        </w:rPr>
        <w:t xml:space="preserve"> data on Medicaid claims over a five year time horizon that was used to trend Medicaid costs into future years.  This included data that was broken into differing populations which allowed costs to be broken out into different categories, including children, and adults with and without dependent children.  DWS, which determines eligibility for the state, provided detailed information on cases served over a five year time horizon which allowed caseload to </w:t>
      </w:r>
      <w:r w:rsidR="00895BF6">
        <w:rPr>
          <w:rFonts w:ascii="Times New Roman" w:hAnsi="Times New Roman"/>
          <w:sz w:val="24"/>
          <w:szCs w:val="24"/>
        </w:rPr>
        <w:t xml:space="preserve">be </w:t>
      </w:r>
      <w:r>
        <w:rPr>
          <w:rFonts w:ascii="Times New Roman" w:hAnsi="Times New Roman"/>
          <w:sz w:val="24"/>
          <w:szCs w:val="24"/>
        </w:rPr>
        <w:t>trended into future years across categories.</w:t>
      </w:r>
    </w:p>
    <w:p w:rsidR="000C50EE" w:rsidRDefault="000C50EE" w:rsidP="00EA516D">
      <w:pPr>
        <w:spacing w:after="0"/>
        <w:rPr>
          <w:rFonts w:ascii="Times New Roman" w:hAnsi="Times New Roman"/>
          <w:sz w:val="24"/>
          <w:szCs w:val="24"/>
        </w:rPr>
      </w:pPr>
    </w:p>
    <w:p w:rsidR="00CA697E" w:rsidRDefault="00CA697E" w:rsidP="00EA516D">
      <w:pPr>
        <w:spacing w:after="0"/>
        <w:rPr>
          <w:rFonts w:ascii="Times New Roman" w:hAnsi="Times New Roman"/>
          <w:b/>
          <w:sz w:val="24"/>
          <w:szCs w:val="24"/>
        </w:rPr>
      </w:pPr>
    </w:p>
    <w:p w:rsidR="00CA697E" w:rsidRDefault="00CA697E" w:rsidP="00EA516D">
      <w:pPr>
        <w:spacing w:after="0"/>
        <w:rPr>
          <w:rFonts w:ascii="Times New Roman" w:hAnsi="Times New Roman"/>
          <w:b/>
          <w:sz w:val="24"/>
          <w:szCs w:val="24"/>
        </w:rPr>
      </w:pPr>
    </w:p>
    <w:p w:rsidR="00CA697E" w:rsidRDefault="00CA697E" w:rsidP="00EA516D">
      <w:pPr>
        <w:spacing w:after="0"/>
        <w:rPr>
          <w:rFonts w:ascii="Times New Roman" w:hAnsi="Times New Roman"/>
          <w:b/>
          <w:sz w:val="24"/>
          <w:szCs w:val="24"/>
        </w:rPr>
      </w:pPr>
    </w:p>
    <w:p w:rsidR="000C50EE" w:rsidRDefault="000C50EE" w:rsidP="00EA516D">
      <w:pPr>
        <w:spacing w:after="0"/>
        <w:rPr>
          <w:rFonts w:ascii="Times New Roman" w:hAnsi="Times New Roman"/>
          <w:b/>
          <w:sz w:val="24"/>
          <w:szCs w:val="24"/>
        </w:rPr>
      </w:pPr>
      <w:r w:rsidRPr="000C50EE">
        <w:rPr>
          <w:rFonts w:ascii="Times New Roman" w:hAnsi="Times New Roman"/>
          <w:b/>
          <w:sz w:val="24"/>
          <w:szCs w:val="24"/>
        </w:rPr>
        <w:t>Cost Data</w:t>
      </w:r>
    </w:p>
    <w:p w:rsidR="00CA697E" w:rsidRPr="000C50EE" w:rsidRDefault="00CA697E" w:rsidP="00EA516D">
      <w:pPr>
        <w:spacing w:after="0"/>
        <w:rPr>
          <w:rFonts w:ascii="Times New Roman" w:hAnsi="Times New Roman"/>
          <w:b/>
          <w:sz w:val="24"/>
          <w:szCs w:val="24"/>
        </w:rPr>
      </w:pPr>
    </w:p>
    <w:p w:rsidR="009D6379" w:rsidRDefault="000D6E99" w:rsidP="000C50EE">
      <w:pPr>
        <w:spacing w:after="240"/>
        <w:rPr>
          <w:rFonts w:ascii="Times New Roman" w:hAnsi="Times New Roman"/>
          <w:sz w:val="24"/>
          <w:szCs w:val="24"/>
        </w:rPr>
      </w:pPr>
      <w:r>
        <w:rPr>
          <w:rFonts w:ascii="Times New Roman" w:hAnsi="Times New Roman"/>
          <w:sz w:val="24"/>
          <w:szCs w:val="24"/>
        </w:rPr>
        <w:t xml:space="preserve">Potential costs of the modeled populations are presented at two different benefit levels.  The first is traditional Utah Medicaid.  The second benefit package is </w:t>
      </w:r>
      <w:r w:rsidR="00E22D0C">
        <w:rPr>
          <w:rFonts w:ascii="Times New Roman" w:hAnsi="Times New Roman"/>
          <w:sz w:val="24"/>
          <w:szCs w:val="24"/>
        </w:rPr>
        <w:t xml:space="preserve">an </w:t>
      </w:r>
      <w:r>
        <w:rPr>
          <w:rFonts w:ascii="Times New Roman" w:hAnsi="Times New Roman"/>
          <w:sz w:val="24"/>
          <w:szCs w:val="24"/>
        </w:rPr>
        <w:t xml:space="preserve">Essential </w:t>
      </w:r>
      <w:r w:rsidR="0064349E">
        <w:rPr>
          <w:rFonts w:ascii="Times New Roman" w:hAnsi="Times New Roman"/>
          <w:sz w:val="24"/>
          <w:szCs w:val="24"/>
        </w:rPr>
        <w:t xml:space="preserve">Health </w:t>
      </w:r>
      <w:r>
        <w:rPr>
          <w:rFonts w:ascii="Times New Roman" w:hAnsi="Times New Roman"/>
          <w:sz w:val="24"/>
          <w:szCs w:val="24"/>
        </w:rPr>
        <w:t>Benefit</w:t>
      </w:r>
      <w:r w:rsidR="0064349E">
        <w:rPr>
          <w:rFonts w:ascii="Times New Roman" w:hAnsi="Times New Roman"/>
          <w:sz w:val="24"/>
          <w:szCs w:val="24"/>
        </w:rPr>
        <w:t>s</w:t>
      </w:r>
      <w:r>
        <w:rPr>
          <w:rFonts w:ascii="Times New Roman" w:hAnsi="Times New Roman"/>
          <w:sz w:val="24"/>
          <w:szCs w:val="24"/>
        </w:rPr>
        <w:t xml:space="preserve"> </w:t>
      </w:r>
      <w:r w:rsidR="0064349E">
        <w:rPr>
          <w:rFonts w:ascii="Times New Roman" w:hAnsi="Times New Roman"/>
          <w:sz w:val="24"/>
          <w:szCs w:val="24"/>
        </w:rPr>
        <w:t>p</w:t>
      </w:r>
      <w:r>
        <w:rPr>
          <w:rFonts w:ascii="Times New Roman" w:hAnsi="Times New Roman"/>
          <w:sz w:val="24"/>
          <w:szCs w:val="24"/>
        </w:rPr>
        <w:t xml:space="preserve">ackage (EHB).  Under the ACA, states have the option of offering an alternative benefit package to Medicaid expansion populations.  Though a final decision on this package is pending a number of decisions, including expansion itself, it is possible that any alternative benefit package will be close to the EHB. </w:t>
      </w:r>
      <w:r w:rsidR="009D6379">
        <w:rPr>
          <w:rFonts w:ascii="Times New Roman" w:hAnsi="Times New Roman"/>
          <w:sz w:val="24"/>
          <w:szCs w:val="24"/>
        </w:rPr>
        <w:t xml:space="preserve"> For this report, PCG has assumed that</w:t>
      </w:r>
      <w:r w:rsidR="009D6379" w:rsidRPr="009D6379">
        <w:rPr>
          <w:rFonts w:ascii="Times New Roman" w:hAnsi="Times New Roman"/>
          <w:sz w:val="24"/>
          <w:szCs w:val="24"/>
        </w:rPr>
        <w:t xml:space="preserve"> the Public Employee Health Plan's (PEHP) "Basic Plus"</w:t>
      </w:r>
      <w:r w:rsidR="009D6379">
        <w:rPr>
          <w:rFonts w:ascii="Times New Roman" w:hAnsi="Times New Roman"/>
          <w:sz w:val="24"/>
          <w:szCs w:val="24"/>
        </w:rPr>
        <w:t>, which has been recommended by lawmakers</w:t>
      </w:r>
      <w:r w:rsidR="00E22D0C">
        <w:rPr>
          <w:rFonts w:ascii="Times New Roman" w:hAnsi="Times New Roman"/>
          <w:sz w:val="24"/>
          <w:szCs w:val="24"/>
        </w:rPr>
        <w:t xml:space="preserve"> for the Health Insurance Exchange in Utah (Exchange)</w:t>
      </w:r>
      <w:r w:rsidR="009D6379">
        <w:rPr>
          <w:rFonts w:ascii="Times New Roman" w:hAnsi="Times New Roman"/>
          <w:sz w:val="24"/>
          <w:szCs w:val="24"/>
        </w:rPr>
        <w:t xml:space="preserve">, </w:t>
      </w:r>
      <w:r w:rsidR="0064349E">
        <w:rPr>
          <w:rFonts w:ascii="Times New Roman" w:hAnsi="Times New Roman"/>
          <w:sz w:val="24"/>
          <w:szCs w:val="24"/>
        </w:rPr>
        <w:t>will serve as the Medicaid EHB</w:t>
      </w:r>
      <w:r w:rsidR="009D6379">
        <w:rPr>
          <w:rFonts w:ascii="Times New Roman" w:hAnsi="Times New Roman"/>
          <w:sz w:val="24"/>
          <w:szCs w:val="24"/>
        </w:rPr>
        <w:t>.</w:t>
      </w:r>
    </w:p>
    <w:p w:rsidR="009D6379" w:rsidRDefault="009D6379" w:rsidP="000C50EE">
      <w:pPr>
        <w:spacing w:after="240"/>
        <w:rPr>
          <w:rFonts w:ascii="Times New Roman" w:hAnsi="Times New Roman"/>
          <w:sz w:val="24"/>
          <w:szCs w:val="24"/>
        </w:rPr>
      </w:pPr>
      <w:r>
        <w:rPr>
          <w:rFonts w:ascii="Times New Roman" w:hAnsi="Times New Roman"/>
          <w:sz w:val="24"/>
          <w:szCs w:val="24"/>
        </w:rPr>
        <w:t>In order to model costs of this EHB package, PCG underwent a review of the</w:t>
      </w:r>
      <w:r w:rsidR="007A55D6">
        <w:rPr>
          <w:rFonts w:ascii="Times New Roman" w:hAnsi="Times New Roman"/>
          <w:sz w:val="24"/>
          <w:szCs w:val="24"/>
        </w:rPr>
        <w:t xml:space="preserve"> </w:t>
      </w:r>
      <w:r w:rsidR="007A55D6" w:rsidRPr="00562D47">
        <w:rPr>
          <w:rFonts w:ascii="Times New Roman" w:hAnsi="Times New Roman"/>
          <w:sz w:val="24"/>
          <w:szCs w:val="24"/>
        </w:rPr>
        <w:t>PEHP Basic Plus</w:t>
      </w:r>
      <w:r>
        <w:rPr>
          <w:rFonts w:ascii="Times New Roman" w:hAnsi="Times New Roman"/>
          <w:sz w:val="24"/>
          <w:szCs w:val="24"/>
        </w:rPr>
        <w:t xml:space="preserve"> </w:t>
      </w:r>
      <w:r w:rsidR="00E0284C">
        <w:rPr>
          <w:rFonts w:ascii="Times New Roman" w:hAnsi="Times New Roman"/>
          <w:sz w:val="24"/>
          <w:szCs w:val="24"/>
        </w:rPr>
        <w:t xml:space="preserve">Utah </w:t>
      </w:r>
      <w:r>
        <w:rPr>
          <w:rFonts w:ascii="Times New Roman" w:hAnsi="Times New Roman"/>
          <w:sz w:val="24"/>
          <w:szCs w:val="24"/>
        </w:rPr>
        <w:t>offers and compared those benefits to traditional Medicaid.  It was found that the Medicaid benefit is richer than the proposed EHB plan.  In the absence of cost data on the EHB package, Medicaid costs were assumed into the EHB package.  Benefits that are offered in Medicaid but not in the EHB package were removed from the EHB cost information.  Medicaid costs are a good benchmark for this exercise, as using them embeds Medicaid utilization into the EHB cost and utilization estimate.</w:t>
      </w:r>
    </w:p>
    <w:p w:rsidR="000C50EE" w:rsidRDefault="009D6379" w:rsidP="000C50EE">
      <w:pPr>
        <w:spacing w:after="240"/>
        <w:rPr>
          <w:rFonts w:ascii="Times New Roman" w:hAnsi="Times New Roman"/>
          <w:sz w:val="24"/>
          <w:szCs w:val="24"/>
        </w:rPr>
      </w:pPr>
      <w:r>
        <w:rPr>
          <w:rFonts w:ascii="Times New Roman" w:hAnsi="Times New Roman"/>
          <w:sz w:val="24"/>
          <w:szCs w:val="24"/>
        </w:rPr>
        <w:t>For both benefit options, u</w:t>
      </w:r>
      <w:r w:rsidR="00895BF6">
        <w:rPr>
          <w:rFonts w:ascii="Times New Roman" w:hAnsi="Times New Roman"/>
          <w:sz w:val="24"/>
          <w:szCs w:val="24"/>
        </w:rPr>
        <w:t>tilization and claims data</w:t>
      </w:r>
      <w:r w:rsidR="000D6E99">
        <w:rPr>
          <w:rFonts w:ascii="Times New Roman" w:hAnsi="Times New Roman"/>
          <w:sz w:val="24"/>
          <w:szCs w:val="24"/>
        </w:rPr>
        <w:t xml:space="preserve"> from Utah</w:t>
      </w:r>
      <w:r w:rsidR="00895BF6">
        <w:rPr>
          <w:rFonts w:ascii="Times New Roman" w:hAnsi="Times New Roman"/>
          <w:sz w:val="24"/>
          <w:szCs w:val="24"/>
        </w:rPr>
        <w:t xml:space="preserve"> was applied to model the costs of the varying populations</w:t>
      </w:r>
      <w:r w:rsidR="006D68DE">
        <w:rPr>
          <w:rFonts w:ascii="Times New Roman" w:hAnsi="Times New Roman"/>
          <w:sz w:val="24"/>
          <w:szCs w:val="24"/>
        </w:rPr>
        <w:t>. T</w:t>
      </w:r>
      <w:r w:rsidR="000C50EE">
        <w:rPr>
          <w:rFonts w:ascii="Times New Roman" w:hAnsi="Times New Roman"/>
          <w:sz w:val="24"/>
          <w:szCs w:val="24"/>
        </w:rPr>
        <w:t>he PCG-MESM utilized Utah Medicaid enrollment and spending data fr</w:t>
      </w:r>
      <w:r w:rsidR="0080558F">
        <w:rPr>
          <w:rFonts w:ascii="Times New Roman" w:hAnsi="Times New Roman"/>
          <w:sz w:val="24"/>
          <w:szCs w:val="24"/>
        </w:rPr>
        <w:t>om</w:t>
      </w:r>
      <w:r w:rsidR="000C50EE">
        <w:rPr>
          <w:rFonts w:ascii="Times New Roman" w:hAnsi="Times New Roman"/>
          <w:sz w:val="24"/>
          <w:szCs w:val="24"/>
        </w:rPr>
        <w:t xml:space="preserve"> 2008 through 2011 (four years), broken out by the following population groupings</w:t>
      </w:r>
      <w:r>
        <w:rPr>
          <w:rFonts w:ascii="Times New Roman" w:hAnsi="Times New Roman"/>
          <w:sz w:val="24"/>
          <w:szCs w:val="24"/>
        </w:rPr>
        <w:t xml:space="preserve"> (with adjustments for the EHB as noted above)</w:t>
      </w:r>
      <w:r w:rsidR="000C50EE">
        <w:rPr>
          <w:rFonts w:ascii="Times New Roman" w:hAnsi="Times New Roman"/>
          <w:sz w:val="24"/>
          <w:szCs w:val="24"/>
        </w:rPr>
        <w:t>:</w:t>
      </w:r>
    </w:p>
    <w:p w:rsidR="000C50EE" w:rsidRPr="009C60D8" w:rsidRDefault="000C50EE" w:rsidP="000C50EE">
      <w:pPr>
        <w:pStyle w:val="ListParagraph"/>
        <w:numPr>
          <w:ilvl w:val="0"/>
          <w:numId w:val="17"/>
        </w:numPr>
        <w:spacing w:after="240"/>
        <w:rPr>
          <w:rFonts w:ascii="Times New Roman" w:hAnsi="Times New Roman"/>
          <w:sz w:val="24"/>
          <w:szCs w:val="24"/>
        </w:rPr>
      </w:pPr>
      <w:r w:rsidRPr="009C60D8">
        <w:rPr>
          <w:rFonts w:ascii="Times New Roman" w:hAnsi="Times New Roman"/>
          <w:sz w:val="24"/>
          <w:szCs w:val="24"/>
        </w:rPr>
        <w:t>Adult</w:t>
      </w:r>
      <w:r w:rsidR="0080558F">
        <w:rPr>
          <w:rFonts w:ascii="Times New Roman" w:hAnsi="Times New Roman"/>
          <w:sz w:val="24"/>
          <w:szCs w:val="24"/>
        </w:rPr>
        <w:t>,</w:t>
      </w:r>
    </w:p>
    <w:p w:rsidR="000C50EE" w:rsidRPr="009C60D8" w:rsidRDefault="000C50EE" w:rsidP="000C50EE">
      <w:pPr>
        <w:pStyle w:val="ListParagraph"/>
        <w:numPr>
          <w:ilvl w:val="0"/>
          <w:numId w:val="17"/>
        </w:numPr>
        <w:spacing w:after="240"/>
        <w:rPr>
          <w:rFonts w:ascii="Times New Roman" w:hAnsi="Times New Roman"/>
          <w:sz w:val="24"/>
          <w:szCs w:val="24"/>
        </w:rPr>
      </w:pPr>
      <w:r w:rsidRPr="009C60D8">
        <w:rPr>
          <w:rFonts w:ascii="Times New Roman" w:hAnsi="Times New Roman"/>
          <w:sz w:val="24"/>
          <w:szCs w:val="24"/>
        </w:rPr>
        <w:t>Aged</w:t>
      </w:r>
      <w:r w:rsidR="0080558F">
        <w:rPr>
          <w:rFonts w:ascii="Times New Roman" w:hAnsi="Times New Roman"/>
          <w:sz w:val="24"/>
          <w:szCs w:val="24"/>
        </w:rPr>
        <w:t>,</w:t>
      </w:r>
    </w:p>
    <w:p w:rsidR="000C50EE" w:rsidRPr="009C60D8" w:rsidRDefault="000C50EE" w:rsidP="000C50EE">
      <w:pPr>
        <w:pStyle w:val="ListParagraph"/>
        <w:numPr>
          <w:ilvl w:val="0"/>
          <w:numId w:val="17"/>
        </w:numPr>
        <w:spacing w:after="240"/>
        <w:rPr>
          <w:rFonts w:ascii="Times New Roman" w:hAnsi="Times New Roman"/>
          <w:sz w:val="24"/>
          <w:szCs w:val="24"/>
        </w:rPr>
      </w:pPr>
      <w:r w:rsidRPr="009C60D8">
        <w:rPr>
          <w:rFonts w:ascii="Times New Roman" w:hAnsi="Times New Roman"/>
          <w:sz w:val="24"/>
          <w:szCs w:val="24"/>
        </w:rPr>
        <w:t>Blind/Disabled</w:t>
      </w:r>
      <w:r w:rsidR="0080558F">
        <w:rPr>
          <w:rFonts w:ascii="Times New Roman" w:hAnsi="Times New Roman"/>
          <w:sz w:val="24"/>
          <w:szCs w:val="24"/>
        </w:rPr>
        <w:t>,</w:t>
      </w:r>
    </w:p>
    <w:p w:rsidR="000C50EE" w:rsidRPr="009C60D8" w:rsidRDefault="000C50EE" w:rsidP="000C50EE">
      <w:pPr>
        <w:pStyle w:val="ListParagraph"/>
        <w:numPr>
          <w:ilvl w:val="0"/>
          <w:numId w:val="17"/>
        </w:numPr>
        <w:spacing w:after="240"/>
        <w:rPr>
          <w:rFonts w:ascii="Times New Roman" w:hAnsi="Times New Roman"/>
          <w:sz w:val="24"/>
          <w:szCs w:val="24"/>
        </w:rPr>
      </w:pPr>
      <w:r w:rsidRPr="009C60D8">
        <w:rPr>
          <w:rFonts w:ascii="Times New Roman" w:hAnsi="Times New Roman"/>
          <w:sz w:val="24"/>
          <w:szCs w:val="24"/>
        </w:rPr>
        <w:t>Child</w:t>
      </w:r>
      <w:r w:rsidR="0080558F">
        <w:rPr>
          <w:rFonts w:ascii="Times New Roman" w:hAnsi="Times New Roman"/>
          <w:sz w:val="24"/>
          <w:szCs w:val="24"/>
        </w:rPr>
        <w:t>,</w:t>
      </w:r>
    </w:p>
    <w:p w:rsidR="000C50EE" w:rsidRPr="009C60D8" w:rsidRDefault="000C50EE" w:rsidP="000C50EE">
      <w:pPr>
        <w:pStyle w:val="ListParagraph"/>
        <w:numPr>
          <w:ilvl w:val="0"/>
          <w:numId w:val="17"/>
        </w:numPr>
        <w:spacing w:after="240"/>
        <w:rPr>
          <w:rFonts w:ascii="Times New Roman" w:hAnsi="Times New Roman"/>
          <w:sz w:val="24"/>
          <w:szCs w:val="24"/>
        </w:rPr>
      </w:pPr>
      <w:r w:rsidRPr="009C60D8">
        <w:rPr>
          <w:rFonts w:ascii="Times New Roman" w:hAnsi="Times New Roman"/>
          <w:sz w:val="24"/>
          <w:szCs w:val="24"/>
        </w:rPr>
        <w:t>Primary Care Network (PCN)</w:t>
      </w:r>
      <w:r w:rsidR="0080558F">
        <w:rPr>
          <w:rFonts w:ascii="Times New Roman" w:hAnsi="Times New Roman"/>
          <w:sz w:val="24"/>
          <w:szCs w:val="24"/>
        </w:rPr>
        <w:t>,</w:t>
      </w:r>
    </w:p>
    <w:p w:rsidR="000C50EE" w:rsidRPr="009C60D8" w:rsidRDefault="000C50EE" w:rsidP="000C50EE">
      <w:pPr>
        <w:pStyle w:val="ListParagraph"/>
        <w:numPr>
          <w:ilvl w:val="0"/>
          <w:numId w:val="17"/>
        </w:numPr>
        <w:spacing w:after="240"/>
        <w:rPr>
          <w:rFonts w:ascii="Times New Roman" w:hAnsi="Times New Roman"/>
          <w:sz w:val="24"/>
          <w:szCs w:val="24"/>
        </w:rPr>
      </w:pPr>
      <w:r w:rsidRPr="009C60D8">
        <w:rPr>
          <w:rFonts w:ascii="Times New Roman" w:hAnsi="Times New Roman"/>
          <w:sz w:val="24"/>
          <w:szCs w:val="24"/>
        </w:rPr>
        <w:t>Pregnant Women</w:t>
      </w:r>
      <w:r w:rsidR="0080558F">
        <w:rPr>
          <w:rFonts w:ascii="Times New Roman" w:hAnsi="Times New Roman"/>
          <w:sz w:val="24"/>
          <w:szCs w:val="24"/>
        </w:rPr>
        <w:t>, and</w:t>
      </w:r>
    </w:p>
    <w:p w:rsidR="000C50EE" w:rsidRPr="009C60D8" w:rsidRDefault="00E22D0C" w:rsidP="000C50EE">
      <w:pPr>
        <w:pStyle w:val="ListParagraph"/>
        <w:numPr>
          <w:ilvl w:val="0"/>
          <w:numId w:val="17"/>
        </w:numPr>
        <w:spacing w:after="240"/>
        <w:rPr>
          <w:rFonts w:ascii="Times New Roman" w:hAnsi="Times New Roman"/>
          <w:sz w:val="24"/>
          <w:szCs w:val="24"/>
        </w:rPr>
      </w:pPr>
      <w:r>
        <w:rPr>
          <w:rFonts w:ascii="Times New Roman" w:hAnsi="Times New Roman"/>
          <w:sz w:val="24"/>
          <w:szCs w:val="24"/>
        </w:rPr>
        <w:t>Qualified Medicare Beneficiaries (</w:t>
      </w:r>
      <w:r w:rsidR="000C50EE" w:rsidRPr="009C60D8">
        <w:rPr>
          <w:rFonts w:ascii="Times New Roman" w:hAnsi="Times New Roman"/>
          <w:sz w:val="24"/>
          <w:szCs w:val="24"/>
        </w:rPr>
        <w:t>QMB</w:t>
      </w:r>
      <w:r>
        <w:rPr>
          <w:rFonts w:ascii="Times New Roman" w:hAnsi="Times New Roman"/>
          <w:sz w:val="24"/>
          <w:szCs w:val="24"/>
        </w:rPr>
        <w:t>)</w:t>
      </w:r>
      <w:r w:rsidR="007F45E3">
        <w:rPr>
          <w:rFonts w:ascii="Times New Roman" w:hAnsi="Times New Roman"/>
          <w:sz w:val="24"/>
          <w:szCs w:val="24"/>
        </w:rPr>
        <w:t>.</w:t>
      </w:r>
    </w:p>
    <w:p w:rsidR="000C50EE" w:rsidRDefault="000C50EE" w:rsidP="000C50EE">
      <w:pPr>
        <w:spacing w:after="240"/>
        <w:rPr>
          <w:rFonts w:ascii="Times New Roman" w:hAnsi="Times New Roman"/>
          <w:sz w:val="24"/>
          <w:szCs w:val="24"/>
        </w:rPr>
      </w:pPr>
      <w:r>
        <w:rPr>
          <w:rFonts w:ascii="Times New Roman" w:hAnsi="Times New Roman"/>
          <w:sz w:val="24"/>
          <w:szCs w:val="24"/>
        </w:rPr>
        <w:t xml:space="preserve">PCG translated these population groupings into the three population categories requested by the </w:t>
      </w:r>
      <w:r w:rsidR="006D68DE">
        <w:rPr>
          <w:rFonts w:ascii="Times New Roman" w:hAnsi="Times New Roman"/>
          <w:sz w:val="24"/>
          <w:szCs w:val="24"/>
        </w:rPr>
        <w:t>DOH</w:t>
      </w:r>
      <w:r>
        <w:rPr>
          <w:rFonts w:ascii="Times New Roman" w:hAnsi="Times New Roman"/>
          <w:sz w:val="24"/>
          <w:szCs w:val="24"/>
        </w:rPr>
        <w:t xml:space="preserve">: Children, Adults with Dependent Children, </w:t>
      </w:r>
      <w:r w:rsidR="0080558F">
        <w:rPr>
          <w:rFonts w:ascii="Times New Roman" w:hAnsi="Times New Roman"/>
          <w:sz w:val="24"/>
          <w:szCs w:val="24"/>
        </w:rPr>
        <w:t xml:space="preserve">and </w:t>
      </w:r>
      <w:r>
        <w:rPr>
          <w:rFonts w:ascii="Times New Roman" w:hAnsi="Times New Roman"/>
          <w:sz w:val="24"/>
          <w:szCs w:val="24"/>
        </w:rPr>
        <w:t xml:space="preserve">Adults without Dependent Children. For the PCN population, PCG utilized </w:t>
      </w:r>
      <w:r w:rsidRPr="00D069E5">
        <w:rPr>
          <w:rFonts w:ascii="Times New Roman" w:hAnsi="Times New Roman"/>
          <w:sz w:val="24"/>
          <w:szCs w:val="24"/>
        </w:rPr>
        <w:t>2011</w:t>
      </w:r>
      <w:r>
        <w:rPr>
          <w:rFonts w:ascii="Times New Roman" w:hAnsi="Times New Roman"/>
          <w:sz w:val="24"/>
          <w:szCs w:val="24"/>
        </w:rPr>
        <w:t xml:space="preserve"> enrollment data to determine the number of adults with and without dependent children. PCG divided the Adult and Pregnant Women categories into the </w:t>
      </w:r>
      <w:r>
        <w:rPr>
          <w:rFonts w:ascii="Times New Roman" w:hAnsi="Times New Roman"/>
          <w:sz w:val="24"/>
          <w:szCs w:val="24"/>
        </w:rPr>
        <w:lastRenderedPageBreak/>
        <w:t xml:space="preserve">MESM’s population categories as explained above. Historical spending was assigned to the population categories in this manner. </w:t>
      </w:r>
    </w:p>
    <w:p w:rsidR="000C50EE" w:rsidRDefault="000C50EE" w:rsidP="000C50EE">
      <w:pPr>
        <w:spacing w:after="240"/>
        <w:rPr>
          <w:rFonts w:ascii="Times New Roman" w:hAnsi="Times New Roman"/>
          <w:sz w:val="24"/>
          <w:szCs w:val="24"/>
        </w:rPr>
      </w:pPr>
      <w:r>
        <w:rPr>
          <w:rFonts w:ascii="Times New Roman" w:hAnsi="Times New Roman"/>
          <w:sz w:val="24"/>
          <w:szCs w:val="24"/>
        </w:rPr>
        <w:t>The PCG-MESM then calculate</w:t>
      </w:r>
      <w:r w:rsidR="0080558F">
        <w:rPr>
          <w:rFonts w:ascii="Times New Roman" w:hAnsi="Times New Roman"/>
          <w:sz w:val="24"/>
          <w:szCs w:val="24"/>
        </w:rPr>
        <w:t>d</w:t>
      </w:r>
      <w:r>
        <w:rPr>
          <w:rFonts w:ascii="Times New Roman" w:hAnsi="Times New Roman"/>
          <w:sz w:val="24"/>
          <w:szCs w:val="24"/>
        </w:rPr>
        <w:t xml:space="preserve"> a Per Member Per Year (PMPY) spending estimate for each of the populations</w:t>
      </w:r>
      <w:r w:rsidR="00C5757A">
        <w:rPr>
          <w:rFonts w:ascii="Times New Roman" w:hAnsi="Times New Roman"/>
          <w:sz w:val="24"/>
          <w:szCs w:val="24"/>
        </w:rPr>
        <w:t xml:space="preserve"> and benefit packages</w:t>
      </w:r>
      <w:r>
        <w:rPr>
          <w:rFonts w:ascii="Times New Roman" w:hAnsi="Times New Roman"/>
          <w:sz w:val="24"/>
          <w:szCs w:val="24"/>
        </w:rPr>
        <w:t xml:space="preserve">. These PMPY estimates </w:t>
      </w:r>
      <w:r w:rsidR="0080558F">
        <w:rPr>
          <w:rFonts w:ascii="Times New Roman" w:hAnsi="Times New Roman"/>
          <w:sz w:val="24"/>
          <w:szCs w:val="24"/>
        </w:rPr>
        <w:t xml:space="preserve">were </w:t>
      </w:r>
      <w:r>
        <w:rPr>
          <w:rFonts w:ascii="Times New Roman" w:hAnsi="Times New Roman"/>
          <w:sz w:val="24"/>
          <w:szCs w:val="24"/>
        </w:rPr>
        <w:t xml:space="preserve">used to project 10-year spending levels for each of the population groupings using a number of methods, including linear regression using different historical years and annual growth rates using different historical years. PCG staff identified the trending methodology deemed most appropriate for the population grouping. The result is a PMPY for each of the population categories for each year, 2014 through 2023. It is likely that newly eligible populations will be “less expensive” than existing Medicaid populations. The PCG-MESM discounts the calculated PMPY accordingly. </w:t>
      </w:r>
      <w:r w:rsidRPr="00D069E5">
        <w:rPr>
          <w:rFonts w:ascii="Times New Roman" w:hAnsi="Times New Roman"/>
          <w:sz w:val="24"/>
          <w:szCs w:val="24"/>
        </w:rPr>
        <w:t>Estimated PMPY calculations are assumed the same for both FPL groupings (0-100% and 0-138%)</w:t>
      </w:r>
    </w:p>
    <w:p w:rsidR="000C50EE" w:rsidRDefault="000C50EE" w:rsidP="000C50EE">
      <w:pPr>
        <w:spacing w:after="240"/>
        <w:rPr>
          <w:rFonts w:ascii="Times New Roman" w:hAnsi="Times New Roman"/>
          <w:sz w:val="24"/>
          <w:szCs w:val="24"/>
        </w:rPr>
      </w:pPr>
      <w:r>
        <w:rPr>
          <w:rFonts w:ascii="Times New Roman" w:hAnsi="Times New Roman"/>
          <w:sz w:val="24"/>
          <w:szCs w:val="24"/>
        </w:rPr>
        <w:t xml:space="preserve">These final PMPY spending estimates </w:t>
      </w:r>
      <w:r w:rsidR="0080558F">
        <w:rPr>
          <w:rFonts w:ascii="Times New Roman" w:hAnsi="Times New Roman"/>
          <w:sz w:val="24"/>
          <w:szCs w:val="24"/>
        </w:rPr>
        <w:t xml:space="preserve">were </w:t>
      </w:r>
      <w:r>
        <w:rPr>
          <w:rFonts w:ascii="Times New Roman" w:hAnsi="Times New Roman"/>
          <w:sz w:val="24"/>
          <w:szCs w:val="24"/>
        </w:rPr>
        <w:t>applied to the population estimates for each of the scenarios (population methodologies described earlier).</w:t>
      </w:r>
    </w:p>
    <w:p w:rsidR="000C50EE" w:rsidRPr="00A62853" w:rsidRDefault="005F6C51" w:rsidP="000C50EE">
      <w:pPr>
        <w:spacing w:after="240"/>
        <w:rPr>
          <w:rFonts w:ascii="Times New Roman" w:hAnsi="Times New Roman"/>
          <w:b/>
          <w:i/>
          <w:sz w:val="24"/>
          <w:szCs w:val="24"/>
        </w:rPr>
      </w:pPr>
      <w:r>
        <w:rPr>
          <w:rFonts w:ascii="Times New Roman" w:hAnsi="Times New Roman"/>
          <w:b/>
          <w:i/>
          <w:sz w:val="24"/>
          <w:szCs w:val="24"/>
        </w:rPr>
        <w:t>P</w:t>
      </w:r>
      <w:r w:rsidR="000C50EE" w:rsidRPr="00A62853">
        <w:rPr>
          <w:rFonts w:ascii="Times New Roman" w:hAnsi="Times New Roman"/>
          <w:b/>
          <w:i/>
          <w:sz w:val="24"/>
          <w:szCs w:val="24"/>
        </w:rPr>
        <w:t xml:space="preserve">CG-MESM </w:t>
      </w:r>
      <w:r w:rsidR="000C50EE">
        <w:rPr>
          <w:rFonts w:ascii="Times New Roman" w:hAnsi="Times New Roman"/>
          <w:b/>
          <w:i/>
          <w:sz w:val="24"/>
          <w:szCs w:val="24"/>
        </w:rPr>
        <w:t>–</w:t>
      </w:r>
      <w:r w:rsidR="000C50EE" w:rsidRPr="00A62853">
        <w:rPr>
          <w:rFonts w:ascii="Times New Roman" w:hAnsi="Times New Roman"/>
          <w:b/>
          <w:i/>
          <w:sz w:val="24"/>
          <w:szCs w:val="24"/>
        </w:rPr>
        <w:t xml:space="preserve"> </w:t>
      </w:r>
      <w:r w:rsidR="000C50EE">
        <w:rPr>
          <w:rFonts w:ascii="Times New Roman" w:hAnsi="Times New Roman"/>
          <w:b/>
          <w:i/>
          <w:sz w:val="24"/>
          <w:szCs w:val="24"/>
        </w:rPr>
        <w:t xml:space="preserve">Cost </w:t>
      </w:r>
      <w:r w:rsidR="00FB2AC4">
        <w:rPr>
          <w:rFonts w:ascii="Times New Roman" w:hAnsi="Times New Roman"/>
          <w:b/>
          <w:i/>
          <w:sz w:val="24"/>
          <w:szCs w:val="24"/>
        </w:rPr>
        <w:t>Output Timeframes</w:t>
      </w:r>
    </w:p>
    <w:p w:rsidR="000C50EE" w:rsidRPr="00A62853" w:rsidRDefault="000C50EE" w:rsidP="00472966">
      <w:pPr>
        <w:spacing w:after="240"/>
        <w:rPr>
          <w:rFonts w:ascii="Times New Roman" w:hAnsi="Times New Roman"/>
          <w:sz w:val="24"/>
          <w:szCs w:val="24"/>
        </w:rPr>
      </w:pPr>
      <w:r>
        <w:rPr>
          <w:rFonts w:ascii="Times New Roman" w:hAnsi="Times New Roman"/>
          <w:sz w:val="24"/>
          <w:szCs w:val="24"/>
        </w:rPr>
        <w:t xml:space="preserve">The PCG-MESM produced spending estimates </w:t>
      </w:r>
      <w:r w:rsidR="00472966">
        <w:rPr>
          <w:rFonts w:ascii="Times New Roman" w:hAnsi="Times New Roman"/>
          <w:sz w:val="24"/>
          <w:szCs w:val="24"/>
        </w:rPr>
        <w:t>on a yearly basis as per direction from state officials.</w:t>
      </w:r>
    </w:p>
    <w:p w:rsidR="00472966" w:rsidRDefault="00472966">
      <w:pPr>
        <w:spacing w:after="0" w:line="240" w:lineRule="auto"/>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br w:type="page"/>
      </w:r>
    </w:p>
    <w:p w:rsidR="00C80065" w:rsidRPr="00181A60" w:rsidRDefault="00C80065" w:rsidP="00C80065">
      <w:pPr>
        <w:spacing w:after="240"/>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Mandatory Expansion</w:t>
      </w:r>
    </w:p>
    <w:p w:rsidR="00883A0D" w:rsidRDefault="00883A0D" w:rsidP="00883A0D">
      <w:pPr>
        <w:spacing w:after="240"/>
        <w:rPr>
          <w:rFonts w:ascii="Times New Roman" w:hAnsi="Times New Roman"/>
          <w:sz w:val="24"/>
          <w:szCs w:val="24"/>
        </w:rPr>
      </w:pPr>
      <w:r w:rsidRPr="00883A0D">
        <w:rPr>
          <w:rFonts w:ascii="Times New Roman" w:hAnsi="Times New Roman"/>
          <w:sz w:val="24"/>
          <w:szCs w:val="24"/>
        </w:rPr>
        <w:t xml:space="preserve">Modified adjusted gross income (MAGI) conversion is a mandatory requirement of the ACA.  Like other states, Utah </w:t>
      </w:r>
      <w:r w:rsidR="00E22D0C">
        <w:rPr>
          <w:rFonts w:ascii="Times New Roman" w:hAnsi="Times New Roman"/>
          <w:sz w:val="24"/>
          <w:szCs w:val="24"/>
        </w:rPr>
        <w:t xml:space="preserve">currently </w:t>
      </w:r>
      <w:r w:rsidRPr="00883A0D">
        <w:rPr>
          <w:rFonts w:ascii="Times New Roman" w:hAnsi="Times New Roman"/>
          <w:sz w:val="24"/>
          <w:szCs w:val="24"/>
        </w:rPr>
        <w:t xml:space="preserve">has varying income eligibility requirements for each of its Medicaid and Children’s Health Insurance Program (CHIP) programs.  Under a standardized MAGI conversion methodology, after gross individual or family incomes are determined, a series of disregards are applied (42 CFR 435.603).  Disregards are income or assets that are not counted when deciding Medicaid eligibility. In the MAGI methodology excluded disregards include veteran’s benefits, child-support income, transportation benefits, individual retirement accounts, and death benefits. </w:t>
      </w:r>
    </w:p>
    <w:p w:rsidR="00350E01" w:rsidRDefault="00356D8E" w:rsidP="00883A0D">
      <w:pPr>
        <w:spacing w:after="240"/>
        <w:rPr>
          <w:rFonts w:ascii="Times New Roman" w:hAnsi="Times New Roman"/>
          <w:sz w:val="24"/>
          <w:szCs w:val="24"/>
        </w:rPr>
      </w:pPr>
      <w:r>
        <w:rPr>
          <w:rFonts w:ascii="Times New Roman" w:hAnsi="Times New Roman"/>
          <w:sz w:val="24"/>
          <w:szCs w:val="24"/>
        </w:rPr>
        <w:t xml:space="preserve">MAGI is part of the mandatory expansion of Medicaid under the ACA.  </w:t>
      </w:r>
      <w:r w:rsidR="00350E01">
        <w:rPr>
          <w:rFonts w:ascii="Times New Roman" w:hAnsi="Times New Roman"/>
          <w:sz w:val="24"/>
          <w:szCs w:val="24"/>
        </w:rPr>
        <w:t>In important ways, it reflects the “woodwork” population discussed in more detail later in this report. Though the mandatory expansion is the expansion of Medicaid to newly eligible individuals and the woodwork</w:t>
      </w:r>
      <w:r w:rsidR="0080558F">
        <w:rPr>
          <w:rFonts w:ascii="Times New Roman" w:hAnsi="Times New Roman"/>
          <w:sz w:val="24"/>
          <w:szCs w:val="24"/>
        </w:rPr>
        <w:t xml:space="preserve"> expands Medicaid to </w:t>
      </w:r>
      <w:r w:rsidR="00350E01">
        <w:rPr>
          <w:rFonts w:ascii="Times New Roman" w:hAnsi="Times New Roman"/>
          <w:sz w:val="24"/>
          <w:szCs w:val="24"/>
        </w:rPr>
        <w:t xml:space="preserve">clients who are currently eligible but new applicants, the areas have two key components in common:  the state must offer these populations coverage under Medicaid and both are subject to current federal financial participation, not the increased federal financing for expansion populations. </w:t>
      </w:r>
    </w:p>
    <w:p w:rsidR="00350E01" w:rsidRDefault="00350E01" w:rsidP="00883A0D">
      <w:pPr>
        <w:spacing w:after="240"/>
        <w:rPr>
          <w:rFonts w:ascii="Times New Roman" w:hAnsi="Times New Roman"/>
          <w:sz w:val="24"/>
          <w:szCs w:val="24"/>
        </w:rPr>
      </w:pPr>
      <w:r>
        <w:rPr>
          <w:rFonts w:ascii="Times New Roman" w:hAnsi="Times New Roman"/>
          <w:sz w:val="24"/>
          <w:szCs w:val="24"/>
        </w:rPr>
        <w:t xml:space="preserve">Due to the two reasons above, the difficultly in estimating the MAGI population, and the fact that Utah has yet to make a final determination for how its MAGI calculation will be performed, </w:t>
      </w:r>
      <w:r w:rsidR="004F0929">
        <w:rPr>
          <w:rFonts w:ascii="Times New Roman" w:hAnsi="Times New Roman"/>
          <w:sz w:val="24"/>
          <w:szCs w:val="24"/>
        </w:rPr>
        <w:t>this</w:t>
      </w:r>
      <w:r>
        <w:rPr>
          <w:rFonts w:ascii="Times New Roman" w:hAnsi="Times New Roman"/>
          <w:sz w:val="24"/>
          <w:szCs w:val="24"/>
        </w:rPr>
        <w:t xml:space="preserve"> population is included in the woodwork effect tables in order to simplify this narration</w:t>
      </w:r>
      <w:r w:rsidR="004F0929">
        <w:rPr>
          <w:rFonts w:ascii="Times New Roman" w:hAnsi="Times New Roman"/>
          <w:sz w:val="24"/>
          <w:szCs w:val="24"/>
        </w:rPr>
        <w:t xml:space="preserve"> and related tables</w:t>
      </w:r>
      <w:r>
        <w:rPr>
          <w:rFonts w:ascii="Times New Roman" w:hAnsi="Times New Roman"/>
          <w:sz w:val="24"/>
          <w:szCs w:val="24"/>
        </w:rPr>
        <w:t xml:space="preserve">.  </w:t>
      </w:r>
      <w:r w:rsidRPr="00CB318C">
        <w:rPr>
          <w:rFonts w:ascii="Times New Roman" w:hAnsi="Times New Roman"/>
          <w:sz w:val="24"/>
          <w:szCs w:val="24"/>
        </w:rPr>
        <w:t xml:space="preserve">Appendix </w:t>
      </w:r>
      <w:r w:rsidR="00CB318C">
        <w:rPr>
          <w:rFonts w:ascii="Times New Roman" w:hAnsi="Times New Roman"/>
          <w:sz w:val="24"/>
          <w:szCs w:val="24"/>
        </w:rPr>
        <w:t xml:space="preserve">II </w:t>
      </w:r>
      <w:r>
        <w:rPr>
          <w:rFonts w:ascii="Times New Roman" w:hAnsi="Times New Roman"/>
          <w:sz w:val="24"/>
          <w:szCs w:val="24"/>
        </w:rPr>
        <w:t>provides readers who wish to know the details of MAGI conversion with a write-up on its background, how the MAGI conversion will work, and the options available to the state in determining how it will undertake MAGI determinations.</w:t>
      </w:r>
    </w:p>
    <w:p w:rsidR="00192D22" w:rsidRPr="00192D22" w:rsidRDefault="00192D22" w:rsidP="00192D22">
      <w:pPr>
        <w:spacing w:after="240"/>
        <w:rPr>
          <w:rFonts w:ascii="Times New Roman" w:hAnsi="Times New Roman"/>
          <w:sz w:val="24"/>
          <w:szCs w:val="24"/>
        </w:rPr>
      </w:pPr>
      <w:r w:rsidRPr="00192D22">
        <w:rPr>
          <w:rFonts w:ascii="Times New Roman" w:hAnsi="Times New Roman"/>
          <w:sz w:val="24"/>
          <w:szCs w:val="24"/>
        </w:rPr>
        <w:t>In addition to MAGI conversion, asset tests will be eliminated from the income eligibility requirements</w:t>
      </w:r>
      <w:r w:rsidR="002F5368">
        <w:rPr>
          <w:rFonts w:ascii="Times New Roman" w:hAnsi="Times New Roman"/>
          <w:sz w:val="24"/>
          <w:szCs w:val="24"/>
        </w:rPr>
        <w:t xml:space="preserve"> for some eligibility groups</w:t>
      </w:r>
      <w:r w:rsidRPr="00192D22">
        <w:rPr>
          <w:rFonts w:ascii="Times New Roman" w:hAnsi="Times New Roman"/>
          <w:sz w:val="24"/>
          <w:szCs w:val="24"/>
        </w:rPr>
        <w:t xml:space="preserve">.  While Utah has </w:t>
      </w:r>
      <w:r w:rsidR="00E22D0C">
        <w:rPr>
          <w:rFonts w:ascii="Times New Roman" w:hAnsi="Times New Roman"/>
          <w:sz w:val="24"/>
          <w:szCs w:val="24"/>
        </w:rPr>
        <w:t>never had</w:t>
      </w:r>
      <w:r w:rsidR="00E22D0C" w:rsidRPr="00192D22">
        <w:rPr>
          <w:rFonts w:ascii="Times New Roman" w:hAnsi="Times New Roman"/>
          <w:sz w:val="24"/>
          <w:szCs w:val="24"/>
        </w:rPr>
        <w:t xml:space="preserve"> </w:t>
      </w:r>
      <w:r w:rsidRPr="00192D22">
        <w:rPr>
          <w:rFonts w:ascii="Times New Roman" w:hAnsi="Times New Roman"/>
          <w:sz w:val="24"/>
          <w:szCs w:val="24"/>
        </w:rPr>
        <w:t xml:space="preserve">asset tests for its CHIP programs, the tests are still applicable to many of its Medicaid programs.  </w:t>
      </w:r>
    </w:p>
    <w:p w:rsidR="00192D22" w:rsidRDefault="00192D22" w:rsidP="00192D22">
      <w:pPr>
        <w:spacing w:after="240"/>
        <w:rPr>
          <w:rFonts w:ascii="Times New Roman" w:hAnsi="Times New Roman"/>
          <w:sz w:val="24"/>
          <w:szCs w:val="24"/>
        </w:rPr>
      </w:pPr>
      <w:r w:rsidRPr="00192D22">
        <w:rPr>
          <w:rFonts w:ascii="Times New Roman" w:hAnsi="Times New Roman"/>
          <w:sz w:val="24"/>
          <w:szCs w:val="24"/>
        </w:rPr>
        <w:t>Previous studies have shown that eliminating asset tests has a limited impact on enrollment because few low-income families have assets</w:t>
      </w:r>
      <w:r w:rsidR="00CA697E">
        <w:rPr>
          <w:rFonts w:ascii="Times New Roman" w:hAnsi="Times New Roman"/>
          <w:sz w:val="24"/>
          <w:szCs w:val="24"/>
        </w:rPr>
        <w:t>.</w:t>
      </w:r>
      <w:r w:rsidR="00CA697E">
        <w:rPr>
          <w:rStyle w:val="FootnoteReference"/>
          <w:rFonts w:ascii="Times New Roman" w:hAnsi="Times New Roman"/>
          <w:sz w:val="24"/>
          <w:szCs w:val="24"/>
        </w:rPr>
        <w:footnoteReference w:id="1"/>
      </w:r>
      <w:r w:rsidRPr="00192D22">
        <w:rPr>
          <w:rFonts w:ascii="Times New Roman" w:hAnsi="Times New Roman"/>
          <w:sz w:val="24"/>
          <w:szCs w:val="24"/>
        </w:rPr>
        <w:t xml:space="preserve">  A Lewin Group study showed that the elimination of asset tests increased enrollment between 3 and 10 percent for the target populations.</w:t>
      </w:r>
      <w:r w:rsidR="00CA697E">
        <w:rPr>
          <w:rStyle w:val="FootnoteReference"/>
          <w:rFonts w:ascii="Times New Roman" w:hAnsi="Times New Roman"/>
          <w:sz w:val="24"/>
          <w:szCs w:val="24"/>
        </w:rPr>
        <w:footnoteReference w:id="2"/>
      </w:r>
      <w:r w:rsidRPr="00192D22">
        <w:rPr>
          <w:rFonts w:ascii="Times New Roman" w:hAnsi="Times New Roman"/>
          <w:sz w:val="24"/>
          <w:szCs w:val="24"/>
        </w:rPr>
        <w:t xml:space="preserve">  </w:t>
      </w:r>
    </w:p>
    <w:p w:rsidR="0045591C" w:rsidRDefault="00445070" w:rsidP="00192D22">
      <w:pPr>
        <w:spacing w:after="240"/>
        <w:rPr>
          <w:rFonts w:ascii="Times New Roman" w:hAnsi="Times New Roman"/>
          <w:sz w:val="24"/>
          <w:szCs w:val="24"/>
        </w:rPr>
      </w:pPr>
      <w:r>
        <w:rPr>
          <w:rFonts w:ascii="Times New Roman" w:hAnsi="Times New Roman"/>
          <w:sz w:val="24"/>
          <w:szCs w:val="24"/>
        </w:rPr>
        <w:lastRenderedPageBreak/>
        <w:t xml:space="preserve">Additionally, </w:t>
      </w:r>
      <w:r w:rsidR="002F5368">
        <w:rPr>
          <w:rFonts w:ascii="Times New Roman" w:hAnsi="Times New Roman"/>
          <w:sz w:val="24"/>
          <w:szCs w:val="24"/>
        </w:rPr>
        <w:t xml:space="preserve">the ACA requires that Medicaid cover </w:t>
      </w:r>
      <w:r>
        <w:rPr>
          <w:rFonts w:ascii="Times New Roman" w:hAnsi="Times New Roman"/>
          <w:sz w:val="24"/>
          <w:szCs w:val="24"/>
        </w:rPr>
        <w:t>children ages 6 -18 with an FPL from 100 – 138</w:t>
      </w:r>
      <w:r w:rsidR="00613E80">
        <w:rPr>
          <w:rFonts w:ascii="Times New Roman" w:hAnsi="Times New Roman"/>
          <w:sz w:val="24"/>
          <w:szCs w:val="24"/>
        </w:rPr>
        <w:t xml:space="preserve">%. </w:t>
      </w:r>
      <w:r w:rsidR="002F5368">
        <w:rPr>
          <w:rFonts w:ascii="Times New Roman" w:hAnsi="Times New Roman"/>
          <w:sz w:val="24"/>
          <w:szCs w:val="24"/>
        </w:rPr>
        <w:t>Per discussions with the state, it was decided to i</w:t>
      </w:r>
      <w:r>
        <w:rPr>
          <w:rFonts w:ascii="Times New Roman" w:hAnsi="Times New Roman"/>
          <w:sz w:val="24"/>
          <w:szCs w:val="24"/>
        </w:rPr>
        <w:t>nclude</w:t>
      </w:r>
      <w:r w:rsidR="002F5368">
        <w:rPr>
          <w:rFonts w:ascii="Times New Roman" w:hAnsi="Times New Roman"/>
          <w:sz w:val="24"/>
          <w:szCs w:val="24"/>
        </w:rPr>
        <w:t xml:space="preserve"> these children</w:t>
      </w:r>
      <w:r>
        <w:rPr>
          <w:rFonts w:ascii="Times New Roman" w:hAnsi="Times New Roman"/>
          <w:sz w:val="24"/>
          <w:szCs w:val="24"/>
        </w:rPr>
        <w:t xml:space="preserve"> in the mandatory expansion </w:t>
      </w:r>
      <w:r w:rsidR="002F5368">
        <w:rPr>
          <w:rFonts w:ascii="Times New Roman" w:hAnsi="Times New Roman"/>
          <w:sz w:val="24"/>
          <w:szCs w:val="24"/>
        </w:rPr>
        <w:t>section</w:t>
      </w:r>
      <w:r>
        <w:rPr>
          <w:rFonts w:ascii="Times New Roman" w:hAnsi="Times New Roman"/>
          <w:sz w:val="24"/>
          <w:szCs w:val="24"/>
        </w:rPr>
        <w:t xml:space="preserve">.   </w:t>
      </w:r>
      <w:r w:rsidR="0045591C">
        <w:rPr>
          <w:rFonts w:ascii="Times New Roman" w:hAnsi="Times New Roman"/>
          <w:sz w:val="24"/>
          <w:szCs w:val="24"/>
        </w:rPr>
        <w:t>Children current</w:t>
      </w:r>
      <w:r w:rsidR="00A81AF7">
        <w:rPr>
          <w:rFonts w:ascii="Times New Roman" w:hAnsi="Times New Roman"/>
          <w:sz w:val="24"/>
          <w:szCs w:val="24"/>
        </w:rPr>
        <w:t>ly</w:t>
      </w:r>
      <w:r w:rsidR="0045591C">
        <w:rPr>
          <w:rFonts w:ascii="Times New Roman" w:hAnsi="Times New Roman"/>
          <w:sz w:val="24"/>
          <w:szCs w:val="24"/>
        </w:rPr>
        <w:t xml:space="preserve"> on the state CHIP program that fall into this income range are also included in the mandatory expansion.  It is assumed that the asset test, set to be eliminated by the ACA, is the reason why these children are ineligible for Medicaid and thus part of the state’s CHIP program.</w:t>
      </w:r>
    </w:p>
    <w:p w:rsidR="00A1694A" w:rsidRDefault="00A1694A" w:rsidP="00192D22">
      <w:pPr>
        <w:spacing w:after="240"/>
        <w:rPr>
          <w:rFonts w:ascii="Times New Roman" w:hAnsi="Times New Roman"/>
          <w:sz w:val="24"/>
          <w:szCs w:val="24"/>
        </w:rPr>
      </w:pPr>
      <w:r>
        <w:rPr>
          <w:rFonts w:ascii="Times New Roman" w:hAnsi="Times New Roman"/>
          <w:sz w:val="24"/>
          <w:szCs w:val="24"/>
        </w:rPr>
        <w:t>CHIP population data from 2007-2011 was supplied to PCG by the Department of Health.  An enrollment trend was created from this historical data, which was used for CHIP purposes in this report.  Indications are that enrollment in 2012 declined in relation to the historical data PCG used to create the trend.  This data was not included in order to stay consistent with the time frame of state provided data used elsewhere in this report.</w:t>
      </w:r>
    </w:p>
    <w:p w:rsidR="00445070" w:rsidRPr="00192D22" w:rsidRDefault="00952598" w:rsidP="00192D22">
      <w:pPr>
        <w:spacing w:after="240"/>
        <w:rPr>
          <w:rFonts w:ascii="Times New Roman" w:hAnsi="Times New Roman"/>
          <w:sz w:val="24"/>
          <w:szCs w:val="24"/>
        </w:rPr>
      </w:pPr>
      <w:r>
        <w:rPr>
          <w:rFonts w:ascii="Times New Roman" w:hAnsi="Times New Roman"/>
          <w:sz w:val="24"/>
          <w:szCs w:val="24"/>
        </w:rPr>
        <w:t xml:space="preserve">Children are not present in any of the optional populations as they are all included in the mandatory expansion.  </w:t>
      </w:r>
    </w:p>
    <w:p w:rsidR="001818F5" w:rsidRDefault="001818F5">
      <w:pPr>
        <w:spacing w:after="0" w:line="240" w:lineRule="auto"/>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br w:type="page"/>
      </w:r>
    </w:p>
    <w:p w:rsidR="00C80065" w:rsidRPr="00181A60" w:rsidRDefault="00C80065" w:rsidP="00C80065">
      <w:pPr>
        <w:spacing w:after="240"/>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Optional Expansion</w:t>
      </w:r>
    </w:p>
    <w:p w:rsidR="00A43E1D" w:rsidRPr="00A43E1D" w:rsidRDefault="00A43E1D" w:rsidP="00A43E1D">
      <w:pPr>
        <w:spacing w:after="240"/>
        <w:rPr>
          <w:rFonts w:ascii="Times New Roman" w:hAnsi="Times New Roman"/>
          <w:sz w:val="24"/>
          <w:szCs w:val="24"/>
        </w:rPr>
      </w:pPr>
      <w:r w:rsidRPr="00A43E1D">
        <w:rPr>
          <w:rFonts w:ascii="Times New Roman" w:hAnsi="Times New Roman"/>
          <w:sz w:val="24"/>
          <w:szCs w:val="24"/>
        </w:rPr>
        <w:t xml:space="preserve">Changes in Medicaid eligibility under the ACA will primarily </w:t>
      </w:r>
      <w:r>
        <w:rPr>
          <w:rFonts w:ascii="Times New Roman" w:hAnsi="Times New Roman"/>
          <w:sz w:val="24"/>
          <w:szCs w:val="24"/>
        </w:rPr>
        <w:t>affect</w:t>
      </w:r>
      <w:r w:rsidRPr="00A43E1D">
        <w:rPr>
          <w:rFonts w:ascii="Times New Roman" w:hAnsi="Times New Roman"/>
          <w:sz w:val="24"/>
          <w:szCs w:val="24"/>
        </w:rPr>
        <w:t xml:space="preserve"> adults (age 19-64) without children, who are currently not eligible for Medicaid</w:t>
      </w:r>
      <w:r>
        <w:rPr>
          <w:rFonts w:ascii="Times New Roman" w:hAnsi="Times New Roman"/>
          <w:sz w:val="24"/>
          <w:szCs w:val="24"/>
        </w:rPr>
        <w:t xml:space="preserve"> (with the ex</w:t>
      </w:r>
      <w:r w:rsidR="0080558F">
        <w:rPr>
          <w:rFonts w:ascii="Times New Roman" w:hAnsi="Times New Roman"/>
          <w:sz w:val="24"/>
          <w:szCs w:val="24"/>
        </w:rPr>
        <w:t>c</w:t>
      </w:r>
      <w:r>
        <w:rPr>
          <w:rFonts w:ascii="Times New Roman" w:hAnsi="Times New Roman"/>
          <w:sz w:val="24"/>
          <w:szCs w:val="24"/>
        </w:rPr>
        <w:t xml:space="preserve">eption of the limited benefit of the PCN program). </w:t>
      </w:r>
      <w:r w:rsidR="005B260E">
        <w:rPr>
          <w:rFonts w:ascii="Times New Roman" w:hAnsi="Times New Roman"/>
          <w:sz w:val="24"/>
          <w:szCs w:val="24"/>
        </w:rPr>
        <w:t xml:space="preserve">It will also impact adults with dependent children whose incomes are above the current Medicaid levels in Utah (just under 50% FPL).  </w:t>
      </w:r>
      <w:r w:rsidRPr="00A43E1D">
        <w:rPr>
          <w:rFonts w:ascii="Times New Roman" w:hAnsi="Times New Roman"/>
          <w:sz w:val="24"/>
          <w:szCs w:val="24"/>
        </w:rPr>
        <w:t>Under expansion</w:t>
      </w:r>
      <w:r w:rsidR="00CD0738">
        <w:rPr>
          <w:rFonts w:ascii="Times New Roman" w:hAnsi="Times New Roman"/>
          <w:sz w:val="24"/>
          <w:szCs w:val="24"/>
        </w:rPr>
        <w:t xml:space="preserve"> as envisioned by the ACA</w:t>
      </w:r>
      <w:r w:rsidRPr="00A43E1D">
        <w:rPr>
          <w:rFonts w:ascii="Times New Roman" w:hAnsi="Times New Roman"/>
          <w:sz w:val="24"/>
          <w:szCs w:val="24"/>
        </w:rPr>
        <w:t xml:space="preserve">, </w:t>
      </w:r>
      <w:r>
        <w:rPr>
          <w:rFonts w:ascii="Times New Roman" w:hAnsi="Times New Roman"/>
          <w:sz w:val="24"/>
          <w:szCs w:val="24"/>
        </w:rPr>
        <w:t xml:space="preserve">these </w:t>
      </w:r>
      <w:r w:rsidRPr="00A43E1D">
        <w:rPr>
          <w:rFonts w:ascii="Times New Roman" w:hAnsi="Times New Roman"/>
          <w:sz w:val="24"/>
          <w:szCs w:val="24"/>
        </w:rPr>
        <w:t>nonelderly persons with</w:t>
      </w:r>
      <w:r>
        <w:rPr>
          <w:rFonts w:ascii="Times New Roman" w:hAnsi="Times New Roman"/>
          <w:sz w:val="24"/>
          <w:szCs w:val="24"/>
        </w:rPr>
        <w:t xml:space="preserve"> an effective </w:t>
      </w:r>
      <w:r w:rsidRPr="00A43E1D">
        <w:rPr>
          <w:rFonts w:ascii="Times New Roman" w:hAnsi="Times New Roman"/>
          <w:sz w:val="24"/>
          <w:szCs w:val="24"/>
        </w:rPr>
        <w:t>household income less than 13</w:t>
      </w:r>
      <w:r>
        <w:rPr>
          <w:rFonts w:ascii="Times New Roman" w:hAnsi="Times New Roman"/>
          <w:sz w:val="24"/>
          <w:szCs w:val="24"/>
        </w:rPr>
        <w:t>8</w:t>
      </w:r>
      <w:r w:rsidRPr="00A43E1D">
        <w:rPr>
          <w:rFonts w:ascii="Times New Roman" w:hAnsi="Times New Roman"/>
          <w:sz w:val="24"/>
          <w:szCs w:val="24"/>
        </w:rPr>
        <w:t xml:space="preserve">% FPL will be eligible for </w:t>
      </w:r>
      <w:r>
        <w:rPr>
          <w:rFonts w:ascii="Times New Roman" w:hAnsi="Times New Roman"/>
          <w:sz w:val="24"/>
          <w:szCs w:val="24"/>
        </w:rPr>
        <w:t>expansion.  This section of the report projects populations and costs of this optional population. The analysis is also broken into the 0-100</w:t>
      </w:r>
      <w:r w:rsidR="0080558F">
        <w:rPr>
          <w:rFonts w:ascii="Times New Roman" w:hAnsi="Times New Roman"/>
          <w:sz w:val="24"/>
          <w:szCs w:val="24"/>
        </w:rPr>
        <w:t>%</w:t>
      </w:r>
      <w:r>
        <w:rPr>
          <w:rFonts w:ascii="Times New Roman" w:hAnsi="Times New Roman"/>
          <w:sz w:val="24"/>
          <w:szCs w:val="24"/>
        </w:rPr>
        <w:t xml:space="preserve"> FPL grouping by request of the Department of Health.</w:t>
      </w:r>
      <w:r w:rsidR="008A2B88">
        <w:rPr>
          <w:rFonts w:ascii="Times New Roman" w:hAnsi="Times New Roman"/>
          <w:sz w:val="24"/>
          <w:szCs w:val="24"/>
        </w:rPr>
        <w:t xml:space="preserve">  Guidance from CMS has indicated that the ACA’s enhanced FMAP will only be available to states that undertake full expansion.  So, as noted previously, the cost of 0-100% FPL population is assumed at the current FMAP.</w:t>
      </w:r>
    </w:p>
    <w:p w:rsidR="00C80065" w:rsidRPr="00181A60" w:rsidRDefault="00C80065" w:rsidP="00A43E1D">
      <w:pPr>
        <w:spacing w:after="240"/>
        <w:rPr>
          <w:rFonts w:ascii="Times New Roman" w:hAnsi="Times New Roman"/>
          <w:b/>
          <w:i/>
          <w:sz w:val="24"/>
          <w:szCs w:val="24"/>
        </w:rPr>
      </w:pPr>
      <w:r>
        <w:rPr>
          <w:rFonts w:ascii="Times New Roman" w:hAnsi="Times New Roman"/>
          <w:b/>
          <w:i/>
          <w:sz w:val="24"/>
          <w:szCs w:val="24"/>
        </w:rPr>
        <w:t>Data, Methodology, and Assumptions</w:t>
      </w:r>
    </w:p>
    <w:p w:rsidR="00C80065" w:rsidRDefault="001D7474" w:rsidP="00C80065">
      <w:pPr>
        <w:spacing w:after="240"/>
        <w:rPr>
          <w:rFonts w:ascii="Times New Roman" w:hAnsi="Times New Roman"/>
          <w:sz w:val="24"/>
          <w:szCs w:val="24"/>
        </w:rPr>
      </w:pPr>
      <w:r>
        <w:rPr>
          <w:rFonts w:ascii="Times New Roman" w:hAnsi="Times New Roman"/>
          <w:sz w:val="24"/>
          <w:szCs w:val="24"/>
        </w:rPr>
        <w:t>The data for this section comes from the Current Population Survey (C</w:t>
      </w:r>
      <w:r w:rsidR="00943D86">
        <w:rPr>
          <w:rFonts w:ascii="Times New Roman" w:hAnsi="Times New Roman"/>
          <w:sz w:val="24"/>
          <w:szCs w:val="24"/>
        </w:rPr>
        <w:t>PS) and the state of Utah.  The</w:t>
      </w:r>
      <w:r>
        <w:rPr>
          <w:rFonts w:ascii="Times New Roman" w:hAnsi="Times New Roman"/>
          <w:sz w:val="24"/>
          <w:szCs w:val="24"/>
        </w:rPr>
        <w:t xml:space="preserve"> data </w:t>
      </w:r>
      <w:r w:rsidR="00943D86">
        <w:rPr>
          <w:rFonts w:ascii="Times New Roman" w:hAnsi="Times New Roman"/>
          <w:sz w:val="24"/>
          <w:szCs w:val="24"/>
        </w:rPr>
        <w:t>is further detailed in the previous explanation of the PCG-MESM.</w:t>
      </w:r>
    </w:p>
    <w:p w:rsidR="00DB11FF" w:rsidRPr="00DB11FF" w:rsidRDefault="00DB11FF" w:rsidP="00DB11FF">
      <w:pPr>
        <w:spacing w:after="240"/>
        <w:rPr>
          <w:rFonts w:ascii="Times New Roman" w:hAnsi="Times New Roman"/>
          <w:sz w:val="24"/>
          <w:szCs w:val="24"/>
        </w:rPr>
      </w:pPr>
      <w:r>
        <w:rPr>
          <w:rFonts w:ascii="Times New Roman" w:hAnsi="Times New Roman"/>
          <w:sz w:val="24"/>
          <w:szCs w:val="24"/>
        </w:rPr>
        <w:t xml:space="preserve">The assumptions for this section include estimates of participation rates, take up rates, and costs. </w:t>
      </w:r>
      <w:r w:rsidRPr="00DB11FF">
        <w:rPr>
          <w:rFonts w:ascii="Times New Roman" w:hAnsi="Times New Roman"/>
          <w:sz w:val="24"/>
          <w:szCs w:val="24"/>
        </w:rPr>
        <w:t xml:space="preserve">Participation rates for the optional expansion were arrived at by analyzing publicly available reports.  Take up rates are presented in both high and low take-up rate scenarios.  The high take-up rate percentage is 71.09% and the low take-up rate percentage is 48.66%.  These figures are the assumed final high and low take-up rate percentages.  A lag is modeled for both the high and low participation rates.  </w:t>
      </w:r>
      <w:r>
        <w:rPr>
          <w:rFonts w:ascii="Times New Roman" w:hAnsi="Times New Roman"/>
          <w:sz w:val="24"/>
          <w:szCs w:val="24"/>
        </w:rPr>
        <w:t xml:space="preserve">See </w:t>
      </w:r>
      <w:r w:rsidR="00DF1568">
        <w:rPr>
          <w:rFonts w:ascii="Times New Roman" w:hAnsi="Times New Roman"/>
          <w:sz w:val="24"/>
          <w:szCs w:val="24"/>
        </w:rPr>
        <w:t xml:space="preserve">Appendix </w:t>
      </w:r>
      <w:r w:rsidR="00952598">
        <w:rPr>
          <w:rFonts w:ascii="Times New Roman" w:hAnsi="Times New Roman"/>
          <w:sz w:val="24"/>
          <w:szCs w:val="24"/>
        </w:rPr>
        <w:t>I</w:t>
      </w:r>
      <w:r w:rsidR="00DF1568">
        <w:rPr>
          <w:rFonts w:ascii="Times New Roman" w:hAnsi="Times New Roman"/>
          <w:sz w:val="24"/>
          <w:szCs w:val="24"/>
        </w:rPr>
        <w:t xml:space="preserve"> </w:t>
      </w:r>
      <w:r>
        <w:rPr>
          <w:rFonts w:ascii="Times New Roman" w:hAnsi="Times New Roman"/>
          <w:sz w:val="24"/>
          <w:szCs w:val="24"/>
        </w:rPr>
        <w:t>for a summary of public reports on participation rates.</w:t>
      </w:r>
    </w:p>
    <w:p w:rsidR="008A2B88" w:rsidRDefault="00DB11FF" w:rsidP="008A2B88">
      <w:pPr>
        <w:spacing w:after="240"/>
        <w:rPr>
          <w:rFonts w:ascii="Times New Roman" w:hAnsi="Times New Roman"/>
          <w:sz w:val="24"/>
          <w:szCs w:val="24"/>
        </w:rPr>
      </w:pPr>
      <w:r w:rsidRPr="00DB11FF">
        <w:rPr>
          <w:rFonts w:ascii="Times New Roman" w:hAnsi="Times New Roman"/>
          <w:sz w:val="24"/>
          <w:szCs w:val="24"/>
        </w:rPr>
        <w:t xml:space="preserve">The simulation model estimates annual impacts of the </w:t>
      </w:r>
      <w:r w:rsidR="004B1220">
        <w:rPr>
          <w:rFonts w:ascii="Times New Roman" w:hAnsi="Times New Roman"/>
          <w:sz w:val="24"/>
          <w:szCs w:val="24"/>
        </w:rPr>
        <w:t>optional</w:t>
      </w:r>
      <w:r w:rsidRPr="00DB11FF">
        <w:rPr>
          <w:rFonts w:ascii="Times New Roman" w:hAnsi="Times New Roman"/>
          <w:sz w:val="24"/>
          <w:szCs w:val="24"/>
        </w:rPr>
        <w:t xml:space="preserve"> expansion. In order to determine a 6-month impact, PCG utilized enrollment experience that </w:t>
      </w:r>
      <w:r w:rsidR="00C52D09">
        <w:rPr>
          <w:rFonts w:ascii="Times New Roman" w:hAnsi="Times New Roman"/>
          <w:sz w:val="24"/>
          <w:szCs w:val="24"/>
        </w:rPr>
        <w:t>was</w:t>
      </w:r>
      <w:r w:rsidRPr="00DB11FF">
        <w:rPr>
          <w:rFonts w:ascii="Times New Roman" w:hAnsi="Times New Roman"/>
          <w:sz w:val="24"/>
          <w:szCs w:val="24"/>
        </w:rPr>
        <w:t xml:space="preserve"> gleaned from </w:t>
      </w:r>
      <w:r w:rsidR="007579E9">
        <w:rPr>
          <w:rFonts w:ascii="Times New Roman" w:hAnsi="Times New Roman"/>
          <w:sz w:val="24"/>
          <w:szCs w:val="24"/>
        </w:rPr>
        <w:t xml:space="preserve">the </w:t>
      </w:r>
      <w:r w:rsidRPr="00DB11FF">
        <w:rPr>
          <w:rFonts w:ascii="Times New Roman" w:hAnsi="Times New Roman"/>
          <w:sz w:val="24"/>
          <w:szCs w:val="24"/>
        </w:rPr>
        <w:t>implementation</w:t>
      </w:r>
      <w:r w:rsidR="007579E9">
        <w:rPr>
          <w:rFonts w:ascii="Times New Roman" w:hAnsi="Times New Roman"/>
          <w:sz w:val="24"/>
          <w:szCs w:val="24"/>
        </w:rPr>
        <w:t xml:space="preserve"> of </w:t>
      </w:r>
      <w:r w:rsidR="00B45D09">
        <w:rPr>
          <w:rFonts w:ascii="Times New Roman" w:hAnsi="Times New Roman"/>
          <w:sz w:val="24"/>
          <w:szCs w:val="24"/>
        </w:rPr>
        <w:t xml:space="preserve">a </w:t>
      </w:r>
      <w:r w:rsidR="007579E9">
        <w:rPr>
          <w:rFonts w:ascii="Times New Roman" w:hAnsi="Times New Roman"/>
          <w:sz w:val="24"/>
          <w:szCs w:val="24"/>
        </w:rPr>
        <w:t>similar program</w:t>
      </w:r>
      <w:r w:rsidR="008A2B88">
        <w:rPr>
          <w:rFonts w:ascii="Times New Roman" w:hAnsi="Times New Roman"/>
          <w:sz w:val="24"/>
          <w:szCs w:val="24"/>
        </w:rPr>
        <w:t xml:space="preserve"> and participation is assumed at a little less than 30% of the entire year’s population in those six months.  </w:t>
      </w:r>
    </w:p>
    <w:p w:rsidR="008A2B88" w:rsidRDefault="008A2B88" w:rsidP="008A2B88">
      <w:pPr>
        <w:spacing w:after="240"/>
        <w:rPr>
          <w:rFonts w:ascii="Times New Roman" w:hAnsi="Times New Roman"/>
          <w:sz w:val="24"/>
          <w:szCs w:val="24"/>
        </w:rPr>
      </w:pPr>
      <w:r>
        <w:rPr>
          <w:rFonts w:ascii="Times New Roman" w:hAnsi="Times New Roman"/>
          <w:sz w:val="24"/>
          <w:szCs w:val="24"/>
        </w:rPr>
        <w:t>The data is presented on a yearly basis.</w:t>
      </w:r>
    </w:p>
    <w:p w:rsidR="00910387" w:rsidRDefault="00910387" w:rsidP="008A2B88">
      <w:pPr>
        <w:spacing w:after="240"/>
        <w:rPr>
          <w:rFonts w:ascii="Times New Roman" w:hAnsi="Times New Roman"/>
          <w:sz w:val="24"/>
          <w:szCs w:val="24"/>
        </w:rPr>
        <w:sectPr w:rsidR="00910387" w:rsidSect="00910387">
          <w:pgSz w:w="12240" w:h="15840"/>
          <w:pgMar w:top="576" w:right="1440" w:bottom="288" w:left="1440" w:header="720" w:footer="720" w:gutter="0"/>
          <w:cols w:space="720"/>
          <w:docGrid w:linePitch="360"/>
        </w:sectPr>
      </w:pPr>
    </w:p>
    <w:p w:rsidR="00C80065" w:rsidRPr="00E1604A" w:rsidRDefault="008A2B88" w:rsidP="008A2B88">
      <w:pPr>
        <w:spacing w:after="240"/>
        <w:rPr>
          <w:rFonts w:ascii="Times New Roman" w:hAnsi="Times New Roman"/>
          <w:b/>
          <w:sz w:val="24"/>
          <w:szCs w:val="24"/>
        </w:rPr>
      </w:pPr>
      <w:r>
        <w:rPr>
          <w:rFonts w:ascii="Times New Roman" w:hAnsi="Times New Roman"/>
          <w:sz w:val="24"/>
          <w:szCs w:val="24"/>
        </w:rPr>
        <w:lastRenderedPageBreak/>
        <w:t>O</w:t>
      </w:r>
      <w:r w:rsidR="00E1604A" w:rsidRPr="00E1604A">
        <w:rPr>
          <w:rFonts w:ascii="Times New Roman" w:hAnsi="Times New Roman"/>
          <w:b/>
          <w:sz w:val="24"/>
          <w:szCs w:val="24"/>
        </w:rPr>
        <w:t>ptional Expansion Population Estimate</w:t>
      </w:r>
      <w:r w:rsidR="00E1604A">
        <w:rPr>
          <w:rFonts w:ascii="Times New Roman" w:hAnsi="Times New Roman"/>
          <w:b/>
          <w:sz w:val="24"/>
          <w:szCs w:val="24"/>
        </w:rPr>
        <w:t>s</w:t>
      </w:r>
    </w:p>
    <w:p w:rsidR="00E1604A" w:rsidRDefault="00FC0437" w:rsidP="00705E80">
      <w:pPr>
        <w:spacing w:after="0" w:line="240" w:lineRule="auto"/>
        <w:jc w:val="center"/>
        <w:rPr>
          <w:rFonts w:ascii="Times New Roman" w:hAnsi="Times New Roman"/>
          <w:sz w:val="24"/>
          <w:szCs w:val="24"/>
        </w:rPr>
      </w:pPr>
      <w:r w:rsidRPr="00FC0437">
        <w:rPr>
          <w:noProof/>
          <w:szCs w:val="24"/>
          <w:lang w:eastAsia="en-US"/>
        </w:rPr>
        <w:drawing>
          <wp:inline distT="0" distB="0" distL="0" distR="0">
            <wp:extent cx="9509760" cy="3002642"/>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9509760" cy="3002642"/>
                    </a:xfrm>
                    <a:prstGeom prst="rect">
                      <a:avLst/>
                    </a:prstGeom>
                    <a:noFill/>
                    <a:ln w="9525">
                      <a:noFill/>
                      <a:miter lim="800000"/>
                      <a:headEnd/>
                      <a:tailEnd/>
                    </a:ln>
                  </pic:spPr>
                </pic:pic>
              </a:graphicData>
            </a:graphic>
          </wp:inline>
        </w:drawing>
      </w:r>
    </w:p>
    <w:p w:rsidR="00534577" w:rsidRDefault="00534577">
      <w:pPr>
        <w:spacing w:after="0" w:line="240" w:lineRule="auto"/>
        <w:rPr>
          <w:rFonts w:ascii="Times New Roman" w:hAnsi="Times New Roman"/>
          <w:sz w:val="24"/>
          <w:szCs w:val="24"/>
        </w:rPr>
      </w:pPr>
    </w:p>
    <w:p w:rsidR="00E1604A" w:rsidRDefault="00E1604A">
      <w:pPr>
        <w:spacing w:after="0" w:line="240" w:lineRule="auto"/>
        <w:rPr>
          <w:rFonts w:ascii="Times New Roman" w:hAnsi="Times New Roman"/>
          <w:sz w:val="24"/>
          <w:szCs w:val="24"/>
        </w:rPr>
      </w:pPr>
      <w:r w:rsidRPr="00E1604A">
        <w:rPr>
          <w:szCs w:val="24"/>
        </w:rPr>
        <w:t xml:space="preserve"> </w:t>
      </w:r>
      <w:r>
        <w:rPr>
          <w:rFonts w:ascii="Times New Roman" w:hAnsi="Times New Roman"/>
          <w:sz w:val="24"/>
          <w:szCs w:val="24"/>
        </w:rPr>
        <w:br w:type="page"/>
      </w:r>
    </w:p>
    <w:p w:rsidR="007E546C" w:rsidRPr="00CE270C" w:rsidRDefault="007E546C" w:rsidP="007E546C">
      <w:pPr>
        <w:spacing w:after="0" w:line="240" w:lineRule="auto"/>
        <w:rPr>
          <w:rFonts w:ascii="Times New Roman" w:hAnsi="Times New Roman"/>
          <w:b/>
          <w:sz w:val="24"/>
          <w:szCs w:val="24"/>
        </w:rPr>
      </w:pPr>
      <w:r w:rsidRPr="00CE270C">
        <w:rPr>
          <w:rFonts w:ascii="Times New Roman" w:hAnsi="Times New Roman"/>
          <w:b/>
          <w:sz w:val="24"/>
          <w:szCs w:val="24"/>
        </w:rPr>
        <w:lastRenderedPageBreak/>
        <w:t>Optional Expansion</w:t>
      </w:r>
      <w:r w:rsidR="001A4DC9" w:rsidRPr="00CE270C">
        <w:rPr>
          <w:rFonts w:ascii="Times New Roman" w:hAnsi="Times New Roman"/>
          <w:b/>
          <w:sz w:val="24"/>
          <w:szCs w:val="24"/>
        </w:rPr>
        <w:t xml:space="preserve"> </w:t>
      </w:r>
      <w:r w:rsidR="00913194">
        <w:rPr>
          <w:rFonts w:ascii="Times New Roman" w:hAnsi="Times New Roman"/>
          <w:b/>
          <w:sz w:val="24"/>
          <w:szCs w:val="24"/>
        </w:rPr>
        <w:t xml:space="preserve">Total </w:t>
      </w:r>
      <w:r w:rsidR="001A4DC9" w:rsidRPr="00CE270C">
        <w:rPr>
          <w:rFonts w:ascii="Times New Roman" w:hAnsi="Times New Roman"/>
          <w:b/>
          <w:sz w:val="24"/>
          <w:szCs w:val="24"/>
        </w:rPr>
        <w:t>Cost Estimates</w:t>
      </w:r>
      <w:r w:rsidRPr="00CE270C">
        <w:rPr>
          <w:rFonts w:ascii="Times New Roman" w:hAnsi="Times New Roman"/>
          <w:b/>
          <w:sz w:val="24"/>
          <w:szCs w:val="24"/>
        </w:rPr>
        <w:t xml:space="preserve"> (using Medicaid cost base)</w:t>
      </w:r>
    </w:p>
    <w:p w:rsidR="007E546C" w:rsidRDefault="007E546C" w:rsidP="007E546C">
      <w:pPr>
        <w:spacing w:after="0" w:line="240" w:lineRule="auto"/>
        <w:rPr>
          <w:rFonts w:ascii="Times New Roman" w:hAnsi="Times New Roman"/>
          <w:i/>
          <w:sz w:val="24"/>
          <w:szCs w:val="24"/>
        </w:rPr>
      </w:pPr>
    </w:p>
    <w:p w:rsidR="00CE270C" w:rsidRPr="00CE270C" w:rsidRDefault="00312566" w:rsidP="00705E80">
      <w:pPr>
        <w:spacing w:after="0" w:line="240" w:lineRule="auto"/>
        <w:jc w:val="center"/>
        <w:rPr>
          <w:rFonts w:ascii="Times New Roman" w:hAnsi="Times New Roman"/>
          <w:sz w:val="24"/>
          <w:szCs w:val="24"/>
        </w:rPr>
      </w:pPr>
      <w:r w:rsidRPr="00312566">
        <w:rPr>
          <w:noProof/>
          <w:szCs w:val="24"/>
          <w:lang w:eastAsia="en-US"/>
        </w:rPr>
        <w:drawing>
          <wp:inline distT="0" distB="0" distL="0" distR="0">
            <wp:extent cx="9509760" cy="3018571"/>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9509760" cy="3018571"/>
                    </a:xfrm>
                    <a:prstGeom prst="rect">
                      <a:avLst/>
                    </a:prstGeom>
                    <a:noFill/>
                    <a:ln w="9525">
                      <a:noFill/>
                      <a:miter lim="800000"/>
                      <a:headEnd/>
                      <a:tailEnd/>
                    </a:ln>
                  </pic:spPr>
                </pic:pic>
              </a:graphicData>
            </a:graphic>
          </wp:inline>
        </w:drawing>
      </w:r>
    </w:p>
    <w:p w:rsidR="007E546C" w:rsidRDefault="007E546C" w:rsidP="007E546C">
      <w:pPr>
        <w:spacing w:after="0" w:line="240" w:lineRule="auto"/>
        <w:rPr>
          <w:rFonts w:ascii="Times New Roman" w:hAnsi="Times New Roman"/>
          <w:b/>
          <w:sz w:val="24"/>
          <w:szCs w:val="24"/>
        </w:rPr>
      </w:pPr>
    </w:p>
    <w:p w:rsidR="007E546C" w:rsidRPr="00961639" w:rsidRDefault="007E546C" w:rsidP="007E546C">
      <w:pPr>
        <w:spacing w:after="0" w:line="240" w:lineRule="auto"/>
        <w:rPr>
          <w:rFonts w:ascii="Times New Roman" w:hAnsi="Times New Roman"/>
          <w:b/>
          <w:sz w:val="24"/>
          <w:szCs w:val="24"/>
        </w:rPr>
      </w:pPr>
    </w:p>
    <w:p w:rsidR="007E546C" w:rsidRDefault="007E546C">
      <w:pPr>
        <w:spacing w:after="0" w:line="240" w:lineRule="auto"/>
        <w:rPr>
          <w:rFonts w:ascii="Times New Roman" w:hAnsi="Times New Roman"/>
          <w:sz w:val="24"/>
          <w:szCs w:val="24"/>
        </w:rPr>
      </w:pPr>
      <w:r>
        <w:rPr>
          <w:rFonts w:ascii="Times New Roman" w:hAnsi="Times New Roman"/>
          <w:sz w:val="24"/>
          <w:szCs w:val="24"/>
        </w:rPr>
        <w:br w:type="page"/>
      </w:r>
    </w:p>
    <w:p w:rsidR="00701F68" w:rsidRPr="00913194" w:rsidRDefault="00701F68" w:rsidP="00701F68">
      <w:pPr>
        <w:spacing w:after="0" w:line="240" w:lineRule="auto"/>
        <w:rPr>
          <w:rFonts w:ascii="Times New Roman" w:hAnsi="Times New Roman"/>
          <w:b/>
          <w:sz w:val="24"/>
          <w:szCs w:val="24"/>
        </w:rPr>
      </w:pPr>
      <w:r w:rsidRPr="00913194">
        <w:rPr>
          <w:rFonts w:ascii="Times New Roman" w:hAnsi="Times New Roman"/>
          <w:b/>
          <w:sz w:val="24"/>
          <w:szCs w:val="24"/>
        </w:rPr>
        <w:lastRenderedPageBreak/>
        <w:t xml:space="preserve">Optional Expansion </w:t>
      </w:r>
      <w:r w:rsidR="001A4DC9" w:rsidRPr="00913194">
        <w:rPr>
          <w:rFonts w:ascii="Times New Roman" w:hAnsi="Times New Roman"/>
          <w:b/>
          <w:sz w:val="24"/>
          <w:szCs w:val="24"/>
        </w:rPr>
        <w:t xml:space="preserve">Federal Match </w:t>
      </w:r>
      <w:r w:rsidRPr="00913194">
        <w:rPr>
          <w:rFonts w:ascii="Times New Roman" w:hAnsi="Times New Roman"/>
          <w:b/>
          <w:sz w:val="24"/>
          <w:szCs w:val="24"/>
        </w:rPr>
        <w:t>(using Medicaid cost base)</w:t>
      </w:r>
    </w:p>
    <w:p w:rsidR="00701F68" w:rsidRDefault="00701F68">
      <w:pPr>
        <w:spacing w:after="0" w:line="240" w:lineRule="auto"/>
        <w:rPr>
          <w:rFonts w:ascii="Times New Roman" w:hAnsi="Times New Roman"/>
          <w:sz w:val="24"/>
          <w:szCs w:val="24"/>
        </w:rPr>
      </w:pPr>
    </w:p>
    <w:p w:rsidR="00701F68" w:rsidRDefault="00C90960">
      <w:pPr>
        <w:spacing w:after="0" w:line="240" w:lineRule="auto"/>
        <w:rPr>
          <w:rFonts w:ascii="Times New Roman" w:hAnsi="Times New Roman"/>
          <w:i/>
          <w:sz w:val="24"/>
          <w:szCs w:val="24"/>
        </w:rPr>
      </w:pPr>
      <w:r w:rsidRPr="00C90960">
        <w:rPr>
          <w:noProof/>
          <w:szCs w:val="24"/>
          <w:lang w:eastAsia="en-US"/>
        </w:rPr>
        <w:drawing>
          <wp:inline distT="0" distB="0" distL="0" distR="0">
            <wp:extent cx="9509760" cy="2867222"/>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9509760" cy="2867222"/>
                    </a:xfrm>
                    <a:prstGeom prst="rect">
                      <a:avLst/>
                    </a:prstGeom>
                    <a:noFill/>
                    <a:ln w="9525">
                      <a:noFill/>
                      <a:miter lim="800000"/>
                      <a:headEnd/>
                      <a:tailEnd/>
                    </a:ln>
                  </pic:spPr>
                </pic:pic>
              </a:graphicData>
            </a:graphic>
          </wp:inline>
        </w:drawing>
      </w:r>
      <w:r w:rsidR="00701F68">
        <w:rPr>
          <w:rFonts w:ascii="Times New Roman" w:hAnsi="Times New Roman"/>
          <w:i/>
          <w:sz w:val="24"/>
          <w:szCs w:val="24"/>
        </w:rPr>
        <w:br w:type="page"/>
      </w:r>
    </w:p>
    <w:p w:rsidR="00701F68" w:rsidRPr="00753DD8" w:rsidRDefault="00701F68" w:rsidP="00701F68">
      <w:pPr>
        <w:spacing w:after="0" w:line="240" w:lineRule="auto"/>
        <w:rPr>
          <w:rFonts w:ascii="Times New Roman" w:hAnsi="Times New Roman"/>
          <w:b/>
          <w:sz w:val="24"/>
          <w:szCs w:val="24"/>
        </w:rPr>
      </w:pPr>
      <w:r w:rsidRPr="00753DD8">
        <w:rPr>
          <w:rFonts w:ascii="Times New Roman" w:hAnsi="Times New Roman"/>
          <w:b/>
          <w:sz w:val="24"/>
          <w:szCs w:val="24"/>
        </w:rPr>
        <w:lastRenderedPageBreak/>
        <w:t>Optional Expansion</w:t>
      </w:r>
      <w:r w:rsidR="001A4DC9" w:rsidRPr="00753DD8">
        <w:rPr>
          <w:rFonts w:ascii="Times New Roman" w:hAnsi="Times New Roman"/>
          <w:b/>
          <w:sz w:val="24"/>
          <w:szCs w:val="24"/>
        </w:rPr>
        <w:t xml:space="preserve"> State Share</w:t>
      </w:r>
      <w:r w:rsidRPr="00753DD8">
        <w:rPr>
          <w:rFonts w:ascii="Times New Roman" w:hAnsi="Times New Roman"/>
          <w:b/>
          <w:sz w:val="24"/>
          <w:szCs w:val="24"/>
        </w:rPr>
        <w:t xml:space="preserve"> (using Medicaid cost base)</w:t>
      </w:r>
    </w:p>
    <w:p w:rsidR="00701F68" w:rsidRDefault="00701F68">
      <w:pPr>
        <w:spacing w:after="0" w:line="240" w:lineRule="auto"/>
        <w:rPr>
          <w:rFonts w:ascii="Times New Roman" w:hAnsi="Times New Roman"/>
          <w:i/>
          <w:sz w:val="24"/>
          <w:szCs w:val="24"/>
        </w:rPr>
      </w:pPr>
    </w:p>
    <w:p w:rsidR="00701F68" w:rsidRDefault="00A706C0">
      <w:pPr>
        <w:spacing w:after="0" w:line="240" w:lineRule="auto"/>
        <w:rPr>
          <w:rFonts w:ascii="Times New Roman" w:hAnsi="Times New Roman"/>
          <w:i/>
          <w:sz w:val="24"/>
          <w:szCs w:val="24"/>
        </w:rPr>
      </w:pPr>
      <w:r w:rsidRPr="00A706C0">
        <w:rPr>
          <w:noProof/>
          <w:szCs w:val="24"/>
          <w:lang w:eastAsia="en-US"/>
        </w:rPr>
        <w:drawing>
          <wp:inline distT="0" distB="0" distL="0" distR="0">
            <wp:extent cx="9509760" cy="2867222"/>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9509760" cy="2867222"/>
                    </a:xfrm>
                    <a:prstGeom prst="rect">
                      <a:avLst/>
                    </a:prstGeom>
                    <a:noFill/>
                    <a:ln w="9525">
                      <a:noFill/>
                      <a:miter lim="800000"/>
                      <a:headEnd/>
                      <a:tailEnd/>
                    </a:ln>
                  </pic:spPr>
                </pic:pic>
              </a:graphicData>
            </a:graphic>
          </wp:inline>
        </w:drawing>
      </w:r>
      <w:r w:rsidR="00701F68">
        <w:rPr>
          <w:rFonts w:ascii="Times New Roman" w:hAnsi="Times New Roman"/>
          <w:i/>
          <w:sz w:val="24"/>
          <w:szCs w:val="24"/>
        </w:rPr>
        <w:br w:type="page"/>
      </w:r>
    </w:p>
    <w:p w:rsidR="00911D0A" w:rsidRPr="001D38C2" w:rsidRDefault="00911D0A" w:rsidP="00911D0A">
      <w:pPr>
        <w:spacing w:after="0" w:line="240" w:lineRule="auto"/>
        <w:rPr>
          <w:rFonts w:ascii="Times New Roman" w:hAnsi="Times New Roman"/>
          <w:b/>
          <w:sz w:val="24"/>
          <w:szCs w:val="24"/>
        </w:rPr>
      </w:pPr>
      <w:r w:rsidRPr="001D38C2">
        <w:rPr>
          <w:rFonts w:ascii="Times New Roman" w:hAnsi="Times New Roman"/>
          <w:b/>
          <w:sz w:val="24"/>
          <w:szCs w:val="24"/>
        </w:rPr>
        <w:lastRenderedPageBreak/>
        <w:t>Optional Expansion</w:t>
      </w:r>
      <w:r w:rsidR="002E310C" w:rsidRPr="001D38C2">
        <w:rPr>
          <w:rFonts w:ascii="Times New Roman" w:hAnsi="Times New Roman"/>
          <w:b/>
          <w:sz w:val="24"/>
          <w:szCs w:val="24"/>
        </w:rPr>
        <w:t xml:space="preserve"> </w:t>
      </w:r>
      <w:r w:rsidR="008E1FC9">
        <w:rPr>
          <w:rFonts w:ascii="Times New Roman" w:hAnsi="Times New Roman"/>
          <w:b/>
          <w:sz w:val="24"/>
          <w:szCs w:val="24"/>
        </w:rPr>
        <w:t xml:space="preserve">Total </w:t>
      </w:r>
      <w:r w:rsidR="002E310C" w:rsidRPr="001D38C2">
        <w:rPr>
          <w:rFonts w:ascii="Times New Roman" w:hAnsi="Times New Roman"/>
          <w:b/>
          <w:sz w:val="24"/>
          <w:szCs w:val="24"/>
        </w:rPr>
        <w:t>Cost Estimate</w:t>
      </w:r>
      <w:r w:rsidRPr="001D38C2">
        <w:rPr>
          <w:rFonts w:ascii="Times New Roman" w:hAnsi="Times New Roman"/>
          <w:b/>
          <w:sz w:val="24"/>
          <w:szCs w:val="24"/>
        </w:rPr>
        <w:t xml:space="preserve"> (using Essential Health Benefit estimate cost base)</w:t>
      </w:r>
    </w:p>
    <w:p w:rsidR="00911D0A" w:rsidRDefault="00911D0A" w:rsidP="00911D0A">
      <w:pPr>
        <w:spacing w:after="0" w:line="240" w:lineRule="auto"/>
        <w:rPr>
          <w:rFonts w:ascii="Times New Roman" w:hAnsi="Times New Roman"/>
          <w:sz w:val="24"/>
          <w:szCs w:val="24"/>
        </w:rPr>
      </w:pPr>
    </w:p>
    <w:p w:rsidR="00911D0A" w:rsidRDefault="008E1FC9" w:rsidP="00911D0A">
      <w:pPr>
        <w:spacing w:after="0" w:line="240" w:lineRule="auto"/>
        <w:rPr>
          <w:rFonts w:ascii="Times New Roman" w:hAnsi="Times New Roman"/>
          <w:sz w:val="24"/>
          <w:szCs w:val="24"/>
        </w:rPr>
      </w:pPr>
      <w:r w:rsidRPr="008E1FC9">
        <w:rPr>
          <w:noProof/>
          <w:szCs w:val="24"/>
          <w:lang w:eastAsia="en-US"/>
        </w:rPr>
        <w:drawing>
          <wp:inline distT="0" distB="0" distL="0" distR="0">
            <wp:extent cx="9509760" cy="2867222"/>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9509760" cy="2867222"/>
                    </a:xfrm>
                    <a:prstGeom prst="rect">
                      <a:avLst/>
                    </a:prstGeom>
                    <a:noFill/>
                    <a:ln w="9525">
                      <a:noFill/>
                      <a:miter lim="800000"/>
                      <a:headEnd/>
                      <a:tailEnd/>
                    </a:ln>
                  </pic:spPr>
                </pic:pic>
              </a:graphicData>
            </a:graphic>
          </wp:inline>
        </w:drawing>
      </w:r>
    </w:p>
    <w:p w:rsidR="00EE05C2" w:rsidRDefault="00EE05C2" w:rsidP="00911D0A">
      <w:pPr>
        <w:spacing w:after="0" w:line="240" w:lineRule="auto"/>
        <w:rPr>
          <w:rFonts w:ascii="Times New Roman" w:hAnsi="Times New Roman"/>
          <w:sz w:val="24"/>
          <w:szCs w:val="24"/>
        </w:rPr>
      </w:pPr>
    </w:p>
    <w:p w:rsidR="00EE05C2" w:rsidRDefault="00EE05C2">
      <w:pPr>
        <w:spacing w:after="0" w:line="240" w:lineRule="auto"/>
        <w:rPr>
          <w:rFonts w:ascii="Times New Roman" w:hAnsi="Times New Roman"/>
          <w:sz w:val="24"/>
          <w:szCs w:val="24"/>
        </w:rPr>
      </w:pPr>
      <w:r>
        <w:rPr>
          <w:rFonts w:ascii="Times New Roman" w:hAnsi="Times New Roman"/>
          <w:sz w:val="24"/>
          <w:szCs w:val="24"/>
        </w:rPr>
        <w:br w:type="page"/>
      </w:r>
    </w:p>
    <w:p w:rsidR="00EE05C2" w:rsidRPr="008E1FC9" w:rsidRDefault="00EE05C2" w:rsidP="00EE05C2">
      <w:pPr>
        <w:spacing w:after="0" w:line="240" w:lineRule="auto"/>
        <w:rPr>
          <w:rFonts w:ascii="Times New Roman" w:hAnsi="Times New Roman"/>
          <w:b/>
          <w:sz w:val="24"/>
          <w:szCs w:val="24"/>
        </w:rPr>
      </w:pPr>
      <w:r w:rsidRPr="008E1FC9">
        <w:rPr>
          <w:rFonts w:ascii="Times New Roman" w:hAnsi="Times New Roman"/>
          <w:b/>
          <w:sz w:val="24"/>
          <w:szCs w:val="24"/>
        </w:rPr>
        <w:lastRenderedPageBreak/>
        <w:t>Optional Expansion</w:t>
      </w:r>
      <w:r w:rsidR="002E310C" w:rsidRPr="008E1FC9">
        <w:rPr>
          <w:rFonts w:ascii="Times New Roman" w:hAnsi="Times New Roman"/>
          <w:b/>
          <w:sz w:val="24"/>
          <w:szCs w:val="24"/>
        </w:rPr>
        <w:t xml:space="preserve"> Federal Match</w:t>
      </w:r>
      <w:r w:rsidRPr="008E1FC9">
        <w:rPr>
          <w:rFonts w:ascii="Times New Roman" w:hAnsi="Times New Roman"/>
          <w:b/>
          <w:sz w:val="24"/>
          <w:szCs w:val="24"/>
        </w:rPr>
        <w:t xml:space="preserve"> (using Essential Health Benefit estimate cost base)</w:t>
      </w:r>
    </w:p>
    <w:p w:rsidR="00EE05C2" w:rsidRDefault="00EE05C2" w:rsidP="00911D0A">
      <w:pPr>
        <w:spacing w:after="0" w:line="240" w:lineRule="auto"/>
        <w:rPr>
          <w:rFonts w:ascii="Times New Roman" w:hAnsi="Times New Roman"/>
          <w:sz w:val="24"/>
          <w:szCs w:val="24"/>
        </w:rPr>
      </w:pPr>
    </w:p>
    <w:p w:rsidR="00EE05C2" w:rsidRDefault="008E1FC9" w:rsidP="00911D0A">
      <w:pPr>
        <w:spacing w:after="0" w:line="240" w:lineRule="auto"/>
        <w:rPr>
          <w:rFonts w:ascii="Times New Roman" w:hAnsi="Times New Roman"/>
          <w:sz w:val="24"/>
          <w:szCs w:val="24"/>
        </w:rPr>
      </w:pPr>
      <w:r w:rsidRPr="008E1FC9">
        <w:rPr>
          <w:noProof/>
          <w:szCs w:val="24"/>
          <w:lang w:eastAsia="en-US"/>
        </w:rPr>
        <w:drawing>
          <wp:inline distT="0" distB="0" distL="0" distR="0">
            <wp:extent cx="9509760" cy="2867222"/>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9509760" cy="2867222"/>
                    </a:xfrm>
                    <a:prstGeom prst="rect">
                      <a:avLst/>
                    </a:prstGeom>
                    <a:noFill/>
                    <a:ln w="9525">
                      <a:noFill/>
                      <a:miter lim="800000"/>
                      <a:headEnd/>
                      <a:tailEnd/>
                    </a:ln>
                  </pic:spPr>
                </pic:pic>
              </a:graphicData>
            </a:graphic>
          </wp:inline>
        </w:drawing>
      </w:r>
    </w:p>
    <w:p w:rsidR="00EE05C2" w:rsidRDefault="00EE05C2">
      <w:pPr>
        <w:spacing w:after="0" w:line="240" w:lineRule="auto"/>
        <w:rPr>
          <w:rFonts w:ascii="Times New Roman" w:hAnsi="Times New Roman"/>
          <w:sz w:val="24"/>
          <w:szCs w:val="24"/>
        </w:rPr>
      </w:pPr>
      <w:r>
        <w:rPr>
          <w:rFonts w:ascii="Times New Roman" w:hAnsi="Times New Roman"/>
          <w:sz w:val="24"/>
          <w:szCs w:val="24"/>
        </w:rPr>
        <w:br w:type="page"/>
      </w:r>
    </w:p>
    <w:p w:rsidR="00EE05C2" w:rsidRPr="008E1FC9" w:rsidRDefault="00EE05C2" w:rsidP="00EE05C2">
      <w:pPr>
        <w:spacing w:after="0" w:line="240" w:lineRule="auto"/>
        <w:rPr>
          <w:rFonts w:ascii="Times New Roman" w:hAnsi="Times New Roman"/>
          <w:b/>
          <w:sz w:val="24"/>
          <w:szCs w:val="24"/>
        </w:rPr>
      </w:pPr>
      <w:r w:rsidRPr="008E1FC9">
        <w:rPr>
          <w:rFonts w:ascii="Times New Roman" w:hAnsi="Times New Roman"/>
          <w:b/>
          <w:sz w:val="24"/>
          <w:szCs w:val="24"/>
        </w:rPr>
        <w:lastRenderedPageBreak/>
        <w:t>Optional Expansion</w:t>
      </w:r>
      <w:r w:rsidR="002E310C" w:rsidRPr="008E1FC9">
        <w:rPr>
          <w:rFonts w:ascii="Times New Roman" w:hAnsi="Times New Roman"/>
          <w:b/>
          <w:sz w:val="24"/>
          <w:szCs w:val="24"/>
        </w:rPr>
        <w:t xml:space="preserve"> State Share</w:t>
      </w:r>
      <w:r w:rsidRPr="008E1FC9">
        <w:rPr>
          <w:rFonts w:ascii="Times New Roman" w:hAnsi="Times New Roman"/>
          <w:b/>
          <w:sz w:val="24"/>
          <w:szCs w:val="24"/>
        </w:rPr>
        <w:t xml:space="preserve"> (using Essential Health Benefit estimate cost base)</w:t>
      </w:r>
    </w:p>
    <w:p w:rsidR="00EE05C2" w:rsidRDefault="00EE05C2" w:rsidP="00911D0A">
      <w:pPr>
        <w:spacing w:after="0" w:line="240" w:lineRule="auto"/>
        <w:rPr>
          <w:rFonts w:ascii="Times New Roman" w:hAnsi="Times New Roman"/>
          <w:sz w:val="24"/>
          <w:szCs w:val="24"/>
        </w:rPr>
      </w:pPr>
    </w:p>
    <w:p w:rsidR="00EE05C2" w:rsidRDefault="00F57692" w:rsidP="00911D0A">
      <w:pPr>
        <w:spacing w:after="0" w:line="240" w:lineRule="auto"/>
        <w:rPr>
          <w:rFonts w:ascii="Times New Roman" w:hAnsi="Times New Roman"/>
          <w:sz w:val="24"/>
          <w:szCs w:val="24"/>
        </w:rPr>
      </w:pPr>
      <w:r w:rsidRPr="00F57692">
        <w:rPr>
          <w:noProof/>
          <w:szCs w:val="24"/>
          <w:lang w:eastAsia="en-US"/>
        </w:rPr>
        <w:drawing>
          <wp:inline distT="0" distB="0" distL="0" distR="0">
            <wp:extent cx="9509760" cy="2867222"/>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9509760" cy="2867222"/>
                    </a:xfrm>
                    <a:prstGeom prst="rect">
                      <a:avLst/>
                    </a:prstGeom>
                    <a:noFill/>
                    <a:ln w="9525">
                      <a:noFill/>
                      <a:miter lim="800000"/>
                      <a:headEnd/>
                      <a:tailEnd/>
                    </a:ln>
                  </pic:spPr>
                </pic:pic>
              </a:graphicData>
            </a:graphic>
          </wp:inline>
        </w:drawing>
      </w:r>
    </w:p>
    <w:p w:rsidR="00911D0A" w:rsidRDefault="00911D0A" w:rsidP="00911D0A">
      <w:pPr>
        <w:spacing w:after="0" w:line="240" w:lineRule="auto"/>
        <w:rPr>
          <w:rFonts w:ascii="Times New Roman" w:hAnsi="Times New Roman"/>
          <w:sz w:val="24"/>
          <w:szCs w:val="24"/>
        </w:rPr>
      </w:pPr>
    </w:p>
    <w:p w:rsidR="00911D0A" w:rsidRDefault="00911D0A" w:rsidP="00911D0A">
      <w:pPr>
        <w:spacing w:after="0" w:line="240" w:lineRule="auto"/>
        <w:rPr>
          <w:rFonts w:ascii="Times New Roman" w:hAnsi="Times New Roman"/>
          <w:i/>
          <w:sz w:val="24"/>
          <w:szCs w:val="24"/>
        </w:rPr>
      </w:pPr>
    </w:p>
    <w:p w:rsidR="00E844CC" w:rsidRDefault="00E844CC" w:rsidP="00911D0A">
      <w:pPr>
        <w:spacing w:after="0" w:line="240" w:lineRule="auto"/>
        <w:rPr>
          <w:rFonts w:ascii="Times New Roman" w:hAnsi="Times New Roman"/>
          <w:i/>
          <w:sz w:val="24"/>
          <w:szCs w:val="24"/>
        </w:rPr>
        <w:sectPr w:rsidR="00E844CC" w:rsidSect="00910387">
          <w:pgSz w:w="15840" w:h="12240" w:orient="landscape"/>
          <w:pgMar w:top="1440" w:right="576" w:bottom="1440" w:left="288" w:header="720" w:footer="720" w:gutter="0"/>
          <w:cols w:space="720"/>
          <w:docGrid w:linePitch="360"/>
        </w:sectPr>
      </w:pPr>
    </w:p>
    <w:p w:rsidR="00C80065" w:rsidRDefault="00C80065" w:rsidP="00C80065">
      <w:pPr>
        <w:spacing w:after="240"/>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 xml:space="preserve"> “Woodwork” </w:t>
      </w:r>
      <w:r w:rsidR="00B022CE">
        <w:rPr>
          <w:rFonts w:ascii="Times New Roman" w:hAnsi="Times New Roman"/>
          <w:b/>
          <w:color w:val="548DD4" w:themeColor="text2" w:themeTint="99"/>
          <w:sz w:val="28"/>
          <w:szCs w:val="24"/>
        </w:rPr>
        <w:t>And Mandatory Expansion Populations and Costs</w:t>
      </w:r>
    </w:p>
    <w:p w:rsidR="00A90DB1" w:rsidRDefault="00470670" w:rsidP="00470670">
      <w:pPr>
        <w:spacing w:after="240"/>
        <w:rPr>
          <w:rFonts w:ascii="Times New Roman" w:hAnsi="Times New Roman"/>
          <w:sz w:val="24"/>
          <w:szCs w:val="24"/>
        </w:rPr>
      </w:pPr>
      <w:r>
        <w:rPr>
          <w:rFonts w:ascii="Times New Roman" w:hAnsi="Times New Roman"/>
          <w:sz w:val="24"/>
          <w:szCs w:val="24"/>
        </w:rPr>
        <w:t>T</w:t>
      </w:r>
      <w:r w:rsidR="00A90DB1" w:rsidRPr="00A90DB1">
        <w:rPr>
          <w:rFonts w:ascii="Times New Roman" w:hAnsi="Times New Roman"/>
          <w:sz w:val="24"/>
          <w:szCs w:val="24"/>
        </w:rPr>
        <w:t xml:space="preserve">he </w:t>
      </w:r>
      <w:r w:rsidR="00A90DB1">
        <w:rPr>
          <w:rFonts w:ascii="Times New Roman" w:hAnsi="Times New Roman"/>
          <w:sz w:val="24"/>
          <w:szCs w:val="24"/>
        </w:rPr>
        <w:t>“</w:t>
      </w:r>
      <w:r w:rsidR="00A90DB1" w:rsidRPr="00A90DB1">
        <w:rPr>
          <w:rFonts w:ascii="Times New Roman" w:hAnsi="Times New Roman"/>
          <w:sz w:val="24"/>
          <w:szCs w:val="24"/>
        </w:rPr>
        <w:t>woodwork</w:t>
      </w:r>
      <w:r w:rsidR="00A90DB1">
        <w:rPr>
          <w:rFonts w:ascii="Times New Roman" w:hAnsi="Times New Roman"/>
          <w:sz w:val="24"/>
          <w:szCs w:val="24"/>
        </w:rPr>
        <w:t>”</w:t>
      </w:r>
      <w:r w:rsidR="00A90DB1" w:rsidRPr="00A90DB1">
        <w:rPr>
          <w:rFonts w:ascii="Times New Roman" w:hAnsi="Times New Roman"/>
          <w:sz w:val="24"/>
          <w:szCs w:val="24"/>
        </w:rPr>
        <w:t xml:space="preserve"> effect </w:t>
      </w:r>
      <w:r w:rsidR="00A90DB1">
        <w:rPr>
          <w:rFonts w:ascii="Times New Roman" w:hAnsi="Times New Roman"/>
          <w:sz w:val="24"/>
          <w:szCs w:val="24"/>
        </w:rPr>
        <w:t>is the</w:t>
      </w:r>
      <w:r w:rsidR="00A90DB1" w:rsidRPr="00A90DB1">
        <w:rPr>
          <w:rFonts w:ascii="Times New Roman" w:hAnsi="Times New Roman"/>
          <w:sz w:val="24"/>
          <w:szCs w:val="24"/>
        </w:rPr>
        <w:t xml:space="preserve"> population that is current</w:t>
      </w:r>
      <w:r w:rsidR="00C52D09">
        <w:rPr>
          <w:rFonts w:ascii="Times New Roman" w:hAnsi="Times New Roman"/>
          <w:sz w:val="24"/>
          <w:szCs w:val="24"/>
        </w:rPr>
        <w:t>ly</w:t>
      </w:r>
      <w:r w:rsidR="00A90DB1" w:rsidRPr="00A90DB1">
        <w:rPr>
          <w:rFonts w:ascii="Times New Roman" w:hAnsi="Times New Roman"/>
          <w:sz w:val="24"/>
          <w:szCs w:val="24"/>
        </w:rPr>
        <w:t xml:space="preserve"> eligible but not enrolled in Medicaid. </w:t>
      </w:r>
      <w:r w:rsidR="00A90DB1">
        <w:rPr>
          <w:rFonts w:ascii="Times New Roman" w:hAnsi="Times New Roman"/>
          <w:sz w:val="24"/>
          <w:szCs w:val="24"/>
        </w:rPr>
        <w:t xml:space="preserve">Expectations and research indicate that the combination of the individual mandate and </w:t>
      </w:r>
      <w:r w:rsidR="00C52D09">
        <w:rPr>
          <w:rFonts w:ascii="Times New Roman" w:hAnsi="Times New Roman"/>
          <w:sz w:val="24"/>
          <w:szCs w:val="24"/>
        </w:rPr>
        <w:t xml:space="preserve">the </w:t>
      </w:r>
      <w:r w:rsidR="00A90DB1">
        <w:rPr>
          <w:rFonts w:ascii="Times New Roman" w:hAnsi="Times New Roman"/>
          <w:sz w:val="24"/>
          <w:szCs w:val="24"/>
        </w:rPr>
        <w:t xml:space="preserve">increased attention </w:t>
      </w:r>
      <w:r w:rsidR="00FC0437">
        <w:rPr>
          <w:rFonts w:ascii="Times New Roman" w:hAnsi="Times New Roman"/>
          <w:sz w:val="24"/>
          <w:szCs w:val="24"/>
        </w:rPr>
        <w:t>on</w:t>
      </w:r>
      <w:r w:rsidR="00A90DB1">
        <w:rPr>
          <w:rFonts w:ascii="Times New Roman" w:hAnsi="Times New Roman"/>
          <w:sz w:val="24"/>
          <w:szCs w:val="24"/>
        </w:rPr>
        <w:t xml:space="preserve"> health care coverage in the country will </w:t>
      </w:r>
      <w:r w:rsidR="00FC0437">
        <w:rPr>
          <w:rFonts w:ascii="Times New Roman" w:hAnsi="Times New Roman"/>
          <w:sz w:val="24"/>
          <w:szCs w:val="24"/>
        </w:rPr>
        <w:t>encourage</w:t>
      </w:r>
      <w:r w:rsidR="00A90DB1">
        <w:rPr>
          <w:rFonts w:ascii="Times New Roman" w:hAnsi="Times New Roman"/>
          <w:sz w:val="24"/>
          <w:szCs w:val="24"/>
        </w:rPr>
        <w:t xml:space="preserve"> some of these </w:t>
      </w:r>
      <w:r w:rsidR="00FC0437">
        <w:rPr>
          <w:rFonts w:ascii="Times New Roman" w:hAnsi="Times New Roman"/>
          <w:sz w:val="24"/>
          <w:szCs w:val="24"/>
        </w:rPr>
        <w:t>currently eligible but not enrolled individuals</w:t>
      </w:r>
      <w:r w:rsidR="00A90DB1">
        <w:rPr>
          <w:rFonts w:ascii="Times New Roman" w:hAnsi="Times New Roman"/>
          <w:sz w:val="24"/>
          <w:szCs w:val="24"/>
        </w:rPr>
        <w:t xml:space="preserve"> to apply </w:t>
      </w:r>
      <w:r w:rsidR="00CD28E6">
        <w:rPr>
          <w:rFonts w:ascii="Times New Roman" w:hAnsi="Times New Roman"/>
          <w:sz w:val="24"/>
          <w:szCs w:val="24"/>
        </w:rPr>
        <w:t>for</w:t>
      </w:r>
      <w:r w:rsidR="00A90DB1">
        <w:rPr>
          <w:rFonts w:ascii="Times New Roman" w:hAnsi="Times New Roman"/>
          <w:sz w:val="24"/>
          <w:szCs w:val="24"/>
        </w:rPr>
        <w:t xml:space="preserve"> coverage.  They may apply for coverage via the Health Insurance Exchange </w:t>
      </w:r>
      <w:r w:rsidR="00EF7304">
        <w:rPr>
          <w:rFonts w:ascii="Times New Roman" w:hAnsi="Times New Roman"/>
          <w:sz w:val="24"/>
          <w:szCs w:val="24"/>
        </w:rPr>
        <w:t xml:space="preserve">that will be operating in Utah </w:t>
      </w:r>
      <w:r w:rsidR="00A90DB1">
        <w:rPr>
          <w:rFonts w:ascii="Times New Roman" w:hAnsi="Times New Roman"/>
          <w:sz w:val="24"/>
          <w:szCs w:val="24"/>
        </w:rPr>
        <w:t>and find out they are eligible for Medicaid, or they may know they are eligible for the program and directly apply.  Either way, this population is important to cost modeling exercises because whether or not the state chooses to expand Medicaid it will have to provide coverage to this population, and at current federal financial participation levels.</w:t>
      </w:r>
    </w:p>
    <w:p w:rsidR="00C80065" w:rsidRPr="00181A60" w:rsidRDefault="00C80065" w:rsidP="00C80065">
      <w:pPr>
        <w:spacing w:after="240"/>
        <w:rPr>
          <w:rFonts w:ascii="Times New Roman" w:hAnsi="Times New Roman"/>
          <w:b/>
          <w:i/>
          <w:sz w:val="24"/>
          <w:szCs w:val="24"/>
        </w:rPr>
      </w:pPr>
      <w:r>
        <w:rPr>
          <w:rFonts w:ascii="Times New Roman" w:hAnsi="Times New Roman"/>
          <w:b/>
          <w:i/>
          <w:sz w:val="24"/>
          <w:szCs w:val="24"/>
        </w:rPr>
        <w:t>Data, Methodology, and Assumptions</w:t>
      </w:r>
    </w:p>
    <w:p w:rsidR="004B1220" w:rsidRDefault="003B6AC9" w:rsidP="00C80065">
      <w:pPr>
        <w:spacing w:after="240"/>
        <w:rPr>
          <w:rFonts w:ascii="Times New Roman" w:hAnsi="Times New Roman"/>
          <w:sz w:val="24"/>
          <w:szCs w:val="24"/>
        </w:rPr>
      </w:pPr>
      <w:r w:rsidRPr="00A90DB1">
        <w:rPr>
          <w:rFonts w:ascii="Times New Roman" w:hAnsi="Times New Roman"/>
          <w:sz w:val="24"/>
          <w:szCs w:val="24"/>
        </w:rPr>
        <w:t xml:space="preserve">The methodology for finding and trending the data found in this </w:t>
      </w:r>
      <w:r w:rsidR="004B1220">
        <w:rPr>
          <w:rFonts w:ascii="Times New Roman" w:hAnsi="Times New Roman"/>
          <w:sz w:val="24"/>
          <w:szCs w:val="24"/>
        </w:rPr>
        <w:t>section</w:t>
      </w:r>
      <w:r w:rsidRPr="00A90DB1">
        <w:rPr>
          <w:rFonts w:ascii="Times New Roman" w:hAnsi="Times New Roman"/>
          <w:sz w:val="24"/>
          <w:szCs w:val="24"/>
        </w:rPr>
        <w:t xml:space="preserve"> can be found in </w:t>
      </w:r>
      <w:r w:rsidR="004B1220">
        <w:rPr>
          <w:rFonts w:ascii="Times New Roman" w:hAnsi="Times New Roman"/>
          <w:sz w:val="24"/>
          <w:szCs w:val="24"/>
        </w:rPr>
        <w:t>previous sections of this report</w:t>
      </w:r>
      <w:r w:rsidRPr="00A90DB1">
        <w:rPr>
          <w:rFonts w:ascii="Times New Roman" w:hAnsi="Times New Roman"/>
          <w:sz w:val="24"/>
          <w:szCs w:val="24"/>
        </w:rPr>
        <w:t xml:space="preserve">.  </w:t>
      </w:r>
    </w:p>
    <w:p w:rsidR="00C80065" w:rsidRDefault="003B6AC9" w:rsidP="00C80065">
      <w:pPr>
        <w:spacing w:after="240"/>
        <w:rPr>
          <w:rFonts w:ascii="Times New Roman" w:hAnsi="Times New Roman"/>
          <w:sz w:val="24"/>
          <w:szCs w:val="24"/>
        </w:rPr>
      </w:pPr>
      <w:r w:rsidRPr="00A90DB1">
        <w:rPr>
          <w:rFonts w:ascii="Times New Roman" w:hAnsi="Times New Roman"/>
          <w:sz w:val="24"/>
          <w:szCs w:val="24"/>
        </w:rPr>
        <w:t>The total universe of potential enrollees reflects current Utah Medicaid standards translated into the three categories in this report (children, adults with dependent children and adults without dependent children).   The total populations for children were found at 13</w:t>
      </w:r>
      <w:r w:rsidR="00CD28E6">
        <w:rPr>
          <w:rFonts w:ascii="Times New Roman" w:hAnsi="Times New Roman"/>
          <w:sz w:val="24"/>
          <w:szCs w:val="24"/>
        </w:rPr>
        <w:t>8</w:t>
      </w:r>
      <w:r w:rsidRPr="00A90DB1">
        <w:rPr>
          <w:rFonts w:ascii="Times New Roman" w:hAnsi="Times New Roman"/>
          <w:sz w:val="24"/>
          <w:szCs w:val="24"/>
        </w:rPr>
        <w:t xml:space="preserve">% FPL and adults at 50% FPL.  From these figures, the population covered by Medicaid was subtracted from the total, arriving at the number of applicable uninsured adults and children.  This was cross checked with the number of uninsured at each poverty level.  Trended </w:t>
      </w:r>
      <w:r w:rsidR="00C52D09">
        <w:rPr>
          <w:rFonts w:ascii="Times New Roman" w:hAnsi="Times New Roman"/>
          <w:sz w:val="24"/>
          <w:szCs w:val="24"/>
        </w:rPr>
        <w:t xml:space="preserve">numbers of </w:t>
      </w:r>
      <w:r w:rsidRPr="00A90DB1">
        <w:rPr>
          <w:rFonts w:ascii="Times New Roman" w:hAnsi="Times New Roman"/>
          <w:sz w:val="24"/>
          <w:szCs w:val="24"/>
        </w:rPr>
        <w:t xml:space="preserve">total eligible but not enrolled populations were created for future years. </w:t>
      </w:r>
      <w:r w:rsidR="00C52D09">
        <w:rPr>
          <w:rFonts w:ascii="Times New Roman" w:hAnsi="Times New Roman"/>
          <w:sz w:val="24"/>
          <w:szCs w:val="24"/>
        </w:rPr>
        <w:t>I</w:t>
      </w:r>
      <w:r w:rsidRPr="00A90DB1">
        <w:rPr>
          <w:rFonts w:ascii="Times New Roman" w:hAnsi="Times New Roman"/>
          <w:sz w:val="24"/>
          <w:szCs w:val="24"/>
        </w:rPr>
        <w:t>ndividuals modeled to be newly covered were removed from each potential eligible but not enrolled population to avoid double counting.</w:t>
      </w:r>
    </w:p>
    <w:p w:rsidR="00C52D09" w:rsidRPr="00DB11FF" w:rsidRDefault="00744B08" w:rsidP="004B1220">
      <w:pPr>
        <w:spacing w:after="240"/>
        <w:rPr>
          <w:rFonts w:ascii="Times New Roman" w:hAnsi="Times New Roman"/>
          <w:sz w:val="24"/>
          <w:szCs w:val="24"/>
        </w:rPr>
      </w:pPr>
      <w:r>
        <w:rPr>
          <w:rFonts w:ascii="Times New Roman" w:hAnsi="Times New Roman"/>
          <w:sz w:val="24"/>
          <w:szCs w:val="24"/>
        </w:rPr>
        <w:t>Similar to the optional expansion, t</w:t>
      </w:r>
      <w:r w:rsidR="004B1220">
        <w:rPr>
          <w:rFonts w:ascii="Times New Roman" w:hAnsi="Times New Roman"/>
          <w:sz w:val="24"/>
          <w:szCs w:val="24"/>
        </w:rPr>
        <w:t xml:space="preserve">he assumptions for this section include estimates of participation rates, take up rates, and costs. </w:t>
      </w:r>
      <w:r>
        <w:rPr>
          <w:rFonts w:ascii="Times New Roman" w:hAnsi="Times New Roman"/>
          <w:sz w:val="24"/>
          <w:szCs w:val="24"/>
        </w:rPr>
        <w:t>Publicly available reports provided information on the impact of the woodwork effect on participation.</w:t>
      </w:r>
      <w:r w:rsidR="004B1220" w:rsidRPr="00DB11FF">
        <w:rPr>
          <w:rFonts w:ascii="Times New Roman" w:hAnsi="Times New Roman"/>
          <w:sz w:val="24"/>
          <w:szCs w:val="24"/>
        </w:rPr>
        <w:t xml:space="preserve"> Take up rates are presented in both high and low take-up rate scenarios.  The high take-up rate percentage is 71.09% and the low take-up rate percentage is 48.66%.  These figures are the assumed final high and low take-up rate percentages.  A</w:t>
      </w:r>
      <w:r w:rsidR="00A81AF7">
        <w:rPr>
          <w:rFonts w:ascii="Times New Roman" w:hAnsi="Times New Roman"/>
          <w:sz w:val="24"/>
          <w:szCs w:val="24"/>
        </w:rPr>
        <w:t>s discussed in a previous section, a</w:t>
      </w:r>
      <w:r w:rsidR="004B1220" w:rsidRPr="00DB11FF">
        <w:rPr>
          <w:rFonts w:ascii="Times New Roman" w:hAnsi="Times New Roman"/>
          <w:sz w:val="24"/>
          <w:szCs w:val="24"/>
        </w:rPr>
        <w:t xml:space="preserve"> lag is modeled for both the high and low participation rates.  </w:t>
      </w:r>
      <w:r w:rsidR="004B1220">
        <w:rPr>
          <w:rFonts w:ascii="Times New Roman" w:hAnsi="Times New Roman"/>
          <w:sz w:val="24"/>
          <w:szCs w:val="24"/>
        </w:rPr>
        <w:t>See appendix one for a summary of public reports on participation rates.</w:t>
      </w:r>
    </w:p>
    <w:p w:rsidR="003A3481" w:rsidRDefault="004B1220" w:rsidP="00C80065">
      <w:pPr>
        <w:spacing w:after="240"/>
        <w:rPr>
          <w:rFonts w:ascii="Times New Roman" w:hAnsi="Times New Roman"/>
          <w:sz w:val="24"/>
          <w:szCs w:val="24"/>
        </w:rPr>
        <w:sectPr w:rsidR="003A3481" w:rsidSect="00E844CC">
          <w:pgSz w:w="12240" w:h="15840"/>
          <w:pgMar w:top="576" w:right="1440" w:bottom="288" w:left="1440" w:header="720" w:footer="720" w:gutter="0"/>
          <w:cols w:space="720"/>
          <w:docGrid w:linePitch="360"/>
        </w:sectPr>
      </w:pPr>
      <w:r w:rsidRPr="00DB11FF">
        <w:rPr>
          <w:rFonts w:ascii="Times New Roman" w:hAnsi="Times New Roman"/>
          <w:sz w:val="24"/>
          <w:szCs w:val="24"/>
        </w:rPr>
        <w:t xml:space="preserve">The simulation model estimates annual impacts of the </w:t>
      </w:r>
      <w:r>
        <w:rPr>
          <w:rFonts w:ascii="Times New Roman" w:hAnsi="Times New Roman"/>
          <w:sz w:val="24"/>
          <w:szCs w:val="24"/>
        </w:rPr>
        <w:t>optional</w:t>
      </w:r>
      <w:r w:rsidRPr="00DB11FF">
        <w:rPr>
          <w:rFonts w:ascii="Times New Roman" w:hAnsi="Times New Roman"/>
          <w:sz w:val="24"/>
          <w:szCs w:val="24"/>
        </w:rPr>
        <w:t xml:space="preserve"> expansion. In order to determine a 6-month impact, </w:t>
      </w:r>
      <w:r w:rsidR="006A0FE8" w:rsidRPr="00DB11FF">
        <w:rPr>
          <w:rFonts w:ascii="Times New Roman" w:hAnsi="Times New Roman"/>
          <w:sz w:val="24"/>
          <w:szCs w:val="24"/>
        </w:rPr>
        <w:t xml:space="preserve">PCG utilized enrollment experience that </w:t>
      </w:r>
      <w:r w:rsidR="006A0FE8">
        <w:rPr>
          <w:rFonts w:ascii="Times New Roman" w:hAnsi="Times New Roman"/>
          <w:sz w:val="24"/>
          <w:szCs w:val="24"/>
        </w:rPr>
        <w:t>was</w:t>
      </w:r>
      <w:r w:rsidR="006A0FE8" w:rsidRPr="00DB11FF">
        <w:rPr>
          <w:rFonts w:ascii="Times New Roman" w:hAnsi="Times New Roman"/>
          <w:sz w:val="24"/>
          <w:szCs w:val="24"/>
        </w:rPr>
        <w:t xml:space="preserve"> gleaned from </w:t>
      </w:r>
      <w:r w:rsidR="006A0FE8">
        <w:rPr>
          <w:rFonts w:ascii="Times New Roman" w:hAnsi="Times New Roman"/>
          <w:sz w:val="24"/>
          <w:szCs w:val="24"/>
        </w:rPr>
        <w:t xml:space="preserve">the </w:t>
      </w:r>
      <w:r w:rsidR="006A0FE8" w:rsidRPr="00DB11FF">
        <w:rPr>
          <w:rFonts w:ascii="Times New Roman" w:hAnsi="Times New Roman"/>
          <w:sz w:val="24"/>
          <w:szCs w:val="24"/>
        </w:rPr>
        <w:t>implementation</w:t>
      </w:r>
      <w:r w:rsidR="006A0FE8">
        <w:rPr>
          <w:rFonts w:ascii="Times New Roman" w:hAnsi="Times New Roman"/>
          <w:sz w:val="24"/>
          <w:szCs w:val="24"/>
        </w:rPr>
        <w:t xml:space="preserve"> of a similar program and participation is assumed at a little less than 30% of the entire year’s population in those six months.  </w:t>
      </w:r>
      <w:r w:rsidR="003A3481">
        <w:rPr>
          <w:rFonts w:ascii="Times New Roman" w:hAnsi="Times New Roman"/>
          <w:sz w:val="24"/>
          <w:szCs w:val="24"/>
        </w:rPr>
        <w:t xml:space="preserve">The following charts provide population and cost </w:t>
      </w:r>
      <w:r w:rsidR="003A3481">
        <w:rPr>
          <w:rFonts w:ascii="Times New Roman" w:hAnsi="Times New Roman"/>
          <w:sz w:val="24"/>
          <w:szCs w:val="24"/>
        </w:rPr>
        <w:lastRenderedPageBreak/>
        <w:t>estimates for both the mandatory and woodwork populations, combined into the same charts</w:t>
      </w:r>
      <w:r w:rsidR="006A0FE8">
        <w:rPr>
          <w:rFonts w:ascii="Times New Roman" w:hAnsi="Times New Roman"/>
          <w:sz w:val="24"/>
          <w:szCs w:val="24"/>
        </w:rPr>
        <w:t xml:space="preserve"> on </w:t>
      </w:r>
      <w:r w:rsidR="001C6557">
        <w:rPr>
          <w:rFonts w:ascii="Times New Roman" w:hAnsi="Times New Roman"/>
          <w:sz w:val="24"/>
          <w:szCs w:val="24"/>
        </w:rPr>
        <w:t>a</w:t>
      </w:r>
      <w:r w:rsidR="006A0FE8">
        <w:rPr>
          <w:rFonts w:ascii="Times New Roman" w:hAnsi="Times New Roman"/>
          <w:sz w:val="24"/>
          <w:szCs w:val="24"/>
        </w:rPr>
        <w:t xml:space="preserve"> yearly basis</w:t>
      </w:r>
      <w:r w:rsidR="003A3481">
        <w:rPr>
          <w:rFonts w:ascii="Times New Roman" w:hAnsi="Times New Roman"/>
          <w:sz w:val="24"/>
          <w:szCs w:val="24"/>
        </w:rPr>
        <w:t>.</w:t>
      </w:r>
    </w:p>
    <w:p w:rsidR="00156313" w:rsidRDefault="004B1220">
      <w:pPr>
        <w:spacing w:after="0" w:line="240" w:lineRule="auto"/>
        <w:rPr>
          <w:rFonts w:ascii="Times New Roman" w:hAnsi="Times New Roman"/>
          <w:i/>
          <w:sz w:val="24"/>
          <w:szCs w:val="24"/>
        </w:rPr>
      </w:pPr>
      <w:r w:rsidRPr="004B1220">
        <w:rPr>
          <w:rFonts w:ascii="Times New Roman" w:hAnsi="Times New Roman"/>
          <w:i/>
          <w:sz w:val="24"/>
          <w:szCs w:val="24"/>
        </w:rPr>
        <w:lastRenderedPageBreak/>
        <w:t xml:space="preserve">Woodwork </w:t>
      </w:r>
      <w:r w:rsidR="003A3481">
        <w:rPr>
          <w:rFonts w:ascii="Times New Roman" w:hAnsi="Times New Roman"/>
          <w:i/>
          <w:sz w:val="24"/>
          <w:szCs w:val="24"/>
        </w:rPr>
        <w:t xml:space="preserve">and Mandatory Expansion </w:t>
      </w:r>
      <w:r w:rsidRPr="004B1220">
        <w:rPr>
          <w:rFonts w:ascii="Times New Roman" w:hAnsi="Times New Roman"/>
          <w:i/>
          <w:sz w:val="24"/>
          <w:szCs w:val="24"/>
        </w:rPr>
        <w:t>Population Estimates</w:t>
      </w:r>
    </w:p>
    <w:p w:rsidR="00156313" w:rsidRDefault="00156313">
      <w:pPr>
        <w:spacing w:after="0" w:line="240" w:lineRule="auto"/>
        <w:rPr>
          <w:rFonts w:ascii="Times New Roman" w:hAnsi="Times New Roman"/>
          <w:i/>
          <w:sz w:val="24"/>
          <w:szCs w:val="24"/>
        </w:rPr>
      </w:pPr>
    </w:p>
    <w:p w:rsidR="00156313" w:rsidRDefault="00156313">
      <w:pPr>
        <w:spacing w:after="0" w:line="240" w:lineRule="auto"/>
        <w:rPr>
          <w:rFonts w:ascii="Times New Roman" w:hAnsi="Times New Roman"/>
          <w:i/>
          <w:sz w:val="24"/>
          <w:szCs w:val="24"/>
        </w:rPr>
      </w:pPr>
    </w:p>
    <w:p w:rsidR="00C14E9D" w:rsidRPr="00C14E9D" w:rsidRDefault="00153F98" w:rsidP="00470670">
      <w:pPr>
        <w:spacing w:after="0" w:line="240" w:lineRule="auto"/>
        <w:rPr>
          <w:rFonts w:ascii="Times New Roman" w:hAnsi="Times New Roman"/>
          <w:sz w:val="24"/>
          <w:szCs w:val="24"/>
        </w:rPr>
      </w:pPr>
      <w:r w:rsidRPr="00153F98">
        <w:rPr>
          <w:noProof/>
          <w:szCs w:val="24"/>
          <w:lang w:eastAsia="en-US"/>
        </w:rPr>
        <w:drawing>
          <wp:inline distT="0" distB="0" distL="0" distR="0">
            <wp:extent cx="9509760" cy="1657832"/>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9509760" cy="1657832"/>
                    </a:xfrm>
                    <a:prstGeom prst="rect">
                      <a:avLst/>
                    </a:prstGeom>
                    <a:noFill/>
                    <a:ln w="9525">
                      <a:noFill/>
                      <a:miter lim="800000"/>
                      <a:headEnd/>
                      <a:tailEnd/>
                    </a:ln>
                  </pic:spPr>
                </pic:pic>
              </a:graphicData>
            </a:graphic>
          </wp:inline>
        </w:drawing>
      </w:r>
    </w:p>
    <w:p w:rsidR="004B1220" w:rsidRPr="009F3F18" w:rsidRDefault="004B1220">
      <w:pPr>
        <w:spacing w:after="0" w:line="240" w:lineRule="auto"/>
        <w:rPr>
          <w:rFonts w:ascii="Times New Roman" w:hAnsi="Times New Roman"/>
          <w:sz w:val="24"/>
          <w:szCs w:val="24"/>
        </w:rPr>
      </w:pPr>
    </w:p>
    <w:p w:rsidR="00C80065" w:rsidRPr="004B1220" w:rsidRDefault="00C80065">
      <w:pPr>
        <w:spacing w:after="0" w:line="240" w:lineRule="auto"/>
        <w:rPr>
          <w:rFonts w:ascii="Times New Roman" w:hAnsi="Times New Roman"/>
          <w:i/>
          <w:sz w:val="24"/>
          <w:szCs w:val="24"/>
        </w:rPr>
      </w:pPr>
      <w:r w:rsidRPr="004B1220">
        <w:rPr>
          <w:rFonts w:ascii="Times New Roman" w:hAnsi="Times New Roman"/>
          <w:i/>
          <w:sz w:val="24"/>
          <w:szCs w:val="24"/>
        </w:rPr>
        <w:br w:type="page"/>
      </w:r>
    </w:p>
    <w:p w:rsidR="0086246C" w:rsidRDefault="0086246C" w:rsidP="0086246C">
      <w:pPr>
        <w:spacing w:after="0" w:line="240" w:lineRule="auto"/>
        <w:rPr>
          <w:rFonts w:ascii="Times New Roman" w:hAnsi="Times New Roman"/>
          <w:i/>
          <w:sz w:val="24"/>
          <w:szCs w:val="24"/>
        </w:rPr>
      </w:pPr>
      <w:r w:rsidRPr="00A62853">
        <w:rPr>
          <w:rFonts w:ascii="Times New Roman" w:hAnsi="Times New Roman"/>
          <w:i/>
          <w:sz w:val="24"/>
          <w:szCs w:val="24"/>
        </w:rPr>
        <w:lastRenderedPageBreak/>
        <w:t>Woodwork</w:t>
      </w:r>
      <w:r w:rsidR="008F77F7">
        <w:rPr>
          <w:rFonts w:ascii="Times New Roman" w:hAnsi="Times New Roman"/>
          <w:i/>
          <w:sz w:val="24"/>
          <w:szCs w:val="24"/>
        </w:rPr>
        <w:t xml:space="preserve"> </w:t>
      </w:r>
      <w:r w:rsidR="009F3F18">
        <w:rPr>
          <w:rFonts w:ascii="Times New Roman" w:hAnsi="Times New Roman"/>
          <w:i/>
          <w:sz w:val="24"/>
          <w:szCs w:val="24"/>
        </w:rPr>
        <w:t xml:space="preserve">and Mandatory Expansion </w:t>
      </w:r>
      <w:r w:rsidR="008F77F7">
        <w:rPr>
          <w:rFonts w:ascii="Times New Roman" w:hAnsi="Times New Roman"/>
          <w:i/>
          <w:sz w:val="24"/>
          <w:szCs w:val="24"/>
        </w:rPr>
        <w:t>Total Cost</w:t>
      </w:r>
      <w:r>
        <w:rPr>
          <w:rFonts w:ascii="Times New Roman" w:hAnsi="Times New Roman"/>
          <w:i/>
          <w:sz w:val="24"/>
          <w:szCs w:val="24"/>
        </w:rPr>
        <w:t xml:space="preserve"> (</w:t>
      </w:r>
      <w:r w:rsidR="009B4DA9">
        <w:rPr>
          <w:rFonts w:ascii="Times New Roman" w:hAnsi="Times New Roman"/>
          <w:i/>
          <w:sz w:val="24"/>
          <w:szCs w:val="24"/>
        </w:rPr>
        <w:t>Medicaid benefit mandated</w:t>
      </w:r>
      <w:r>
        <w:rPr>
          <w:rFonts w:ascii="Times New Roman" w:hAnsi="Times New Roman"/>
          <w:i/>
          <w:sz w:val="24"/>
          <w:szCs w:val="24"/>
        </w:rPr>
        <w:t>)</w:t>
      </w:r>
    </w:p>
    <w:p w:rsidR="00156313" w:rsidRPr="00A62853" w:rsidRDefault="00156313" w:rsidP="0086246C">
      <w:pPr>
        <w:spacing w:after="0" w:line="240" w:lineRule="auto"/>
        <w:rPr>
          <w:rFonts w:ascii="Times New Roman" w:hAnsi="Times New Roman"/>
          <w:i/>
          <w:sz w:val="24"/>
          <w:szCs w:val="24"/>
        </w:rPr>
      </w:pPr>
    </w:p>
    <w:p w:rsidR="00B91496" w:rsidRDefault="00470670">
      <w:pPr>
        <w:spacing w:after="0" w:line="240" w:lineRule="auto"/>
        <w:rPr>
          <w:rFonts w:ascii="Times New Roman" w:hAnsi="Times New Roman"/>
          <w:sz w:val="24"/>
          <w:szCs w:val="24"/>
        </w:rPr>
      </w:pPr>
      <w:r w:rsidRPr="00470670">
        <w:rPr>
          <w:szCs w:val="24"/>
        </w:rPr>
        <w:t xml:space="preserve"> </w:t>
      </w:r>
      <w:r w:rsidR="00A97733" w:rsidRPr="00A97733">
        <w:rPr>
          <w:noProof/>
          <w:szCs w:val="24"/>
          <w:lang w:eastAsia="en-US"/>
        </w:rPr>
        <w:drawing>
          <wp:inline distT="0" distB="0" distL="0" distR="0">
            <wp:extent cx="9509760" cy="1655544"/>
            <wp:effectExtent l="1905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9509760" cy="1655544"/>
                    </a:xfrm>
                    <a:prstGeom prst="rect">
                      <a:avLst/>
                    </a:prstGeom>
                    <a:noFill/>
                    <a:ln w="9525">
                      <a:noFill/>
                      <a:miter lim="800000"/>
                      <a:headEnd/>
                      <a:tailEnd/>
                    </a:ln>
                  </pic:spPr>
                </pic:pic>
              </a:graphicData>
            </a:graphic>
          </wp:inline>
        </w:drawing>
      </w:r>
      <w:r w:rsidRPr="00470670">
        <w:rPr>
          <w:szCs w:val="24"/>
        </w:rPr>
        <w:t xml:space="preserve"> </w:t>
      </w:r>
      <w:r w:rsidR="00B91496">
        <w:rPr>
          <w:rFonts w:ascii="Times New Roman" w:hAnsi="Times New Roman"/>
          <w:sz w:val="24"/>
          <w:szCs w:val="24"/>
        </w:rPr>
        <w:br w:type="page"/>
      </w:r>
    </w:p>
    <w:p w:rsidR="00B91496" w:rsidRDefault="00B91496" w:rsidP="00B91496">
      <w:pPr>
        <w:spacing w:after="0" w:line="240" w:lineRule="auto"/>
        <w:rPr>
          <w:rFonts w:ascii="Times New Roman" w:hAnsi="Times New Roman"/>
          <w:i/>
          <w:sz w:val="24"/>
          <w:szCs w:val="24"/>
        </w:rPr>
      </w:pPr>
      <w:r w:rsidRPr="00A62853">
        <w:rPr>
          <w:rFonts w:ascii="Times New Roman" w:hAnsi="Times New Roman"/>
          <w:i/>
          <w:sz w:val="24"/>
          <w:szCs w:val="24"/>
        </w:rPr>
        <w:lastRenderedPageBreak/>
        <w:t>Woodwork</w:t>
      </w:r>
      <w:r>
        <w:rPr>
          <w:rFonts w:ascii="Times New Roman" w:hAnsi="Times New Roman"/>
          <w:i/>
          <w:sz w:val="24"/>
          <w:szCs w:val="24"/>
        </w:rPr>
        <w:t xml:space="preserve"> </w:t>
      </w:r>
      <w:r w:rsidR="00470670">
        <w:rPr>
          <w:rFonts w:ascii="Times New Roman" w:hAnsi="Times New Roman"/>
          <w:i/>
          <w:sz w:val="24"/>
          <w:szCs w:val="24"/>
        </w:rPr>
        <w:t xml:space="preserve">and Mandatory Expansion </w:t>
      </w:r>
      <w:r>
        <w:rPr>
          <w:rFonts w:ascii="Times New Roman" w:hAnsi="Times New Roman"/>
          <w:i/>
          <w:sz w:val="24"/>
          <w:szCs w:val="24"/>
        </w:rPr>
        <w:t>Federal Match (</w:t>
      </w:r>
      <w:r w:rsidR="009B4DA9">
        <w:rPr>
          <w:rFonts w:ascii="Times New Roman" w:hAnsi="Times New Roman"/>
          <w:i/>
          <w:sz w:val="24"/>
          <w:szCs w:val="24"/>
        </w:rPr>
        <w:t>Medicaid benefit mandated</w:t>
      </w:r>
      <w:r>
        <w:rPr>
          <w:rFonts w:ascii="Times New Roman" w:hAnsi="Times New Roman"/>
          <w:i/>
          <w:sz w:val="24"/>
          <w:szCs w:val="24"/>
        </w:rPr>
        <w:t>)</w:t>
      </w:r>
    </w:p>
    <w:p w:rsidR="00156313" w:rsidRDefault="00156313" w:rsidP="00B91496">
      <w:pPr>
        <w:spacing w:after="0" w:line="240" w:lineRule="auto"/>
        <w:rPr>
          <w:rFonts w:ascii="Times New Roman" w:hAnsi="Times New Roman"/>
          <w:i/>
          <w:sz w:val="24"/>
          <w:szCs w:val="24"/>
        </w:rPr>
      </w:pPr>
    </w:p>
    <w:p w:rsidR="0086246C" w:rsidRPr="00047BE4" w:rsidRDefault="0086246C" w:rsidP="0086246C">
      <w:pPr>
        <w:spacing w:after="0" w:line="240" w:lineRule="auto"/>
        <w:rPr>
          <w:rFonts w:ascii="Times New Roman" w:hAnsi="Times New Roman"/>
          <w:sz w:val="24"/>
          <w:szCs w:val="24"/>
        </w:rPr>
      </w:pPr>
    </w:p>
    <w:p w:rsidR="006542EE" w:rsidRDefault="00A97733">
      <w:pPr>
        <w:spacing w:after="0" w:line="240" w:lineRule="auto"/>
        <w:rPr>
          <w:rFonts w:ascii="Times New Roman" w:hAnsi="Times New Roman"/>
          <w:sz w:val="24"/>
          <w:szCs w:val="24"/>
        </w:rPr>
      </w:pPr>
      <w:r w:rsidRPr="00A97733">
        <w:rPr>
          <w:noProof/>
          <w:szCs w:val="24"/>
          <w:lang w:eastAsia="en-US"/>
        </w:rPr>
        <w:drawing>
          <wp:inline distT="0" distB="0" distL="0" distR="0">
            <wp:extent cx="9509760" cy="1655544"/>
            <wp:effectExtent l="1905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9509760" cy="1655544"/>
                    </a:xfrm>
                    <a:prstGeom prst="rect">
                      <a:avLst/>
                    </a:prstGeom>
                    <a:noFill/>
                    <a:ln w="9525">
                      <a:noFill/>
                      <a:miter lim="800000"/>
                      <a:headEnd/>
                      <a:tailEnd/>
                    </a:ln>
                  </pic:spPr>
                </pic:pic>
              </a:graphicData>
            </a:graphic>
          </wp:inline>
        </w:drawing>
      </w:r>
      <w:r w:rsidR="00470670" w:rsidRPr="00470670">
        <w:rPr>
          <w:szCs w:val="24"/>
        </w:rPr>
        <w:t xml:space="preserve"> </w:t>
      </w:r>
      <w:r w:rsidR="006542EE">
        <w:rPr>
          <w:rFonts w:ascii="Times New Roman" w:hAnsi="Times New Roman"/>
          <w:sz w:val="24"/>
          <w:szCs w:val="24"/>
        </w:rPr>
        <w:br w:type="page"/>
      </w:r>
    </w:p>
    <w:p w:rsidR="006542EE" w:rsidRDefault="006542EE" w:rsidP="006542EE">
      <w:pPr>
        <w:spacing w:after="0" w:line="240" w:lineRule="auto"/>
        <w:rPr>
          <w:rFonts w:ascii="Times New Roman" w:hAnsi="Times New Roman"/>
          <w:i/>
          <w:sz w:val="24"/>
          <w:szCs w:val="24"/>
        </w:rPr>
      </w:pPr>
      <w:r w:rsidRPr="00A62853">
        <w:rPr>
          <w:rFonts w:ascii="Times New Roman" w:hAnsi="Times New Roman"/>
          <w:i/>
          <w:sz w:val="24"/>
          <w:szCs w:val="24"/>
        </w:rPr>
        <w:lastRenderedPageBreak/>
        <w:t>Woodwork</w:t>
      </w:r>
      <w:r>
        <w:rPr>
          <w:rFonts w:ascii="Times New Roman" w:hAnsi="Times New Roman"/>
          <w:i/>
          <w:sz w:val="24"/>
          <w:szCs w:val="24"/>
        </w:rPr>
        <w:t xml:space="preserve"> </w:t>
      </w:r>
      <w:r w:rsidR="00470670">
        <w:rPr>
          <w:rFonts w:ascii="Times New Roman" w:hAnsi="Times New Roman"/>
          <w:i/>
          <w:sz w:val="24"/>
          <w:szCs w:val="24"/>
        </w:rPr>
        <w:t xml:space="preserve">and Mandatory Expansion </w:t>
      </w:r>
      <w:r>
        <w:rPr>
          <w:rFonts w:ascii="Times New Roman" w:hAnsi="Times New Roman"/>
          <w:i/>
          <w:sz w:val="24"/>
          <w:szCs w:val="24"/>
        </w:rPr>
        <w:t>State Share (</w:t>
      </w:r>
      <w:r w:rsidR="009B4DA9">
        <w:rPr>
          <w:rFonts w:ascii="Times New Roman" w:hAnsi="Times New Roman"/>
          <w:i/>
          <w:sz w:val="24"/>
          <w:szCs w:val="24"/>
        </w:rPr>
        <w:t>Medicaid benefit mandated</w:t>
      </w:r>
      <w:r>
        <w:rPr>
          <w:rFonts w:ascii="Times New Roman" w:hAnsi="Times New Roman"/>
          <w:i/>
          <w:sz w:val="24"/>
          <w:szCs w:val="24"/>
        </w:rPr>
        <w:t>)</w:t>
      </w:r>
    </w:p>
    <w:p w:rsidR="00156313" w:rsidRDefault="00156313" w:rsidP="006542EE">
      <w:pPr>
        <w:spacing w:after="0" w:line="240" w:lineRule="auto"/>
        <w:rPr>
          <w:rFonts w:ascii="Times New Roman" w:hAnsi="Times New Roman"/>
          <w:i/>
          <w:sz w:val="24"/>
          <w:szCs w:val="24"/>
        </w:rPr>
      </w:pPr>
    </w:p>
    <w:p w:rsidR="00156313" w:rsidRDefault="00156313" w:rsidP="006542EE">
      <w:pPr>
        <w:spacing w:after="0" w:line="240" w:lineRule="auto"/>
        <w:rPr>
          <w:rFonts w:ascii="Times New Roman" w:hAnsi="Times New Roman"/>
          <w:i/>
          <w:sz w:val="24"/>
          <w:szCs w:val="24"/>
        </w:rPr>
      </w:pPr>
    </w:p>
    <w:p w:rsidR="0086246C" w:rsidRPr="000C1502" w:rsidRDefault="00A97733" w:rsidP="0086246C">
      <w:pPr>
        <w:spacing w:after="0" w:line="240" w:lineRule="auto"/>
        <w:rPr>
          <w:rFonts w:ascii="Times New Roman" w:hAnsi="Times New Roman"/>
          <w:sz w:val="24"/>
          <w:szCs w:val="24"/>
        </w:rPr>
      </w:pPr>
      <w:r w:rsidRPr="00A97733">
        <w:rPr>
          <w:noProof/>
          <w:szCs w:val="24"/>
          <w:lang w:eastAsia="en-US"/>
        </w:rPr>
        <w:drawing>
          <wp:inline distT="0" distB="0" distL="0" distR="0">
            <wp:extent cx="9509760" cy="1655544"/>
            <wp:effectExtent l="1905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9509760" cy="1655544"/>
                    </a:xfrm>
                    <a:prstGeom prst="rect">
                      <a:avLst/>
                    </a:prstGeom>
                    <a:noFill/>
                    <a:ln w="9525">
                      <a:noFill/>
                      <a:miter lim="800000"/>
                      <a:headEnd/>
                      <a:tailEnd/>
                    </a:ln>
                  </pic:spPr>
                </pic:pic>
              </a:graphicData>
            </a:graphic>
          </wp:inline>
        </w:drawing>
      </w:r>
    </w:p>
    <w:p w:rsidR="0086246C" w:rsidRDefault="0086246C">
      <w:pPr>
        <w:spacing w:after="0" w:line="240" w:lineRule="auto"/>
        <w:rPr>
          <w:rFonts w:ascii="Times New Roman" w:hAnsi="Times New Roman"/>
          <w:sz w:val="24"/>
          <w:szCs w:val="24"/>
        </w:rPr>
      </w:pPr>
    </w:p>
    <w:p w:rsidR="00665A52" w:rsidRDefault="00665A52">
      <w:pPr>
        <w:spacing w:after="0" w:line="240" w:lineRule="auto"/>
        <w:rPr>
          <w:rFonts w:ascii="Times New Roman" w:hAnsi="Times New Roman"/>
          <w:sz w:val="24"/>
          <w:szCs w:val="24"/>
        </w:rPr>
      </w:pPr>
    </w:p>
    <w:p w:rsidR="00665A52" w:rsidRDefault="00665A52">
      <w:pPr>
        <w:spacing w:after="0" w:line="240" w:lineRule="auto"/>
        <w:rPr>
          <w:rFonts w:ascii="Times New Roman" w:hAnsi="Times New Roman"/>
          <w:sz w:val="24"/>
          <w:szCs w:val="24"/>
        </w:rPr>
      </w:pPr>
      <w:r>
        <w:rPr>
          <w:rFonts w:ascii="Times New Roman" w:hAnsi="Times New Roman"/>
          <w:sz w:val="24"/>
          <w:szCs w:val="24"/>
        </w:rPr>
        <w:br w:type="page"/>
      </w:r>
    </w:p>
    <w:p w:rsidR="00665A52" w:rsidRPr="00665A52" w:rsidRDefault="00665A52">
      <w:pPr>
        <w:spacing w:after="0" w:line="240" w:lineRule="auto"/>
        <w:rPr>
          <w:rFonts w:ascii="Times New Roman" w:hAnsi="Times New Roman"/>
          <w:i/>
          <w:sz w:val="24"/>
          <w:szCs w:val="24"/>
        </w:rPr>
      </w:pPr>
      <w:r w:rsidRPr="00665A52">
        <w:rPr>
          <w:rFonts w:ascii="Times New Roman" w:hAnsi="Times New Roman"/>
          <w:i/>
          <w:sz w:val="24"/>
          <w:szCs w:val="24"/>
        </w:rPr>
        <w:lastRenderedPageBreak/>
        <w:t>Mandatory CHIP to Medicaid Enrollment</w:t>
      </w:r>
      <w:r>
        <w:rPr>
          <w:rFonts w:ascii="Times New Roman" w:hAnsi="Times New Roman"/>
          <w:i/>
          <w:sz w:val="24"/>
          <w:szCs w:val="24"/>
        </w:rPr>
        <w:t xml:space="preserve"> and Expenditure</w:t>
      </w:r>
    </w:p>
    <w:p w:rsidR="00665A52" w:rsidRDefault="00665A52">
      <w:pPr>
        <w:spacing w:after="0" w:line="240" w:lineRule="auto"/>
        <w:rPr>
          <w:rFonts w:ascii="Times New Roman" w:hAnsi="Times New Roman"/>
          <w:sz w:val="24"/>
          <w:szCs w:val="24"/>
        </w:rPr>
      </w:pPr>
    </w:p>
    <w:p w:rsidR="00665A52" w:rsidRDefault="00665A52">
      <w:pPr>
        <w:spacing w:after="0" w:line="240" w:lineRule="auto"/>
        <w:rPr>
          <w:rFonts w:ascii="Times New Roman" w:hAnsi="Times New Roman"/>
          <w:sz w:val="24"/>
          <w:szCs w:val="24"/>
        </w:rPr>
      </w:pPr>
      <w:r>
        <w:rPr>
          <w:rFonts w:ascii="Times New Roman" w:hAnsi="Times New Roman"/>
          <w:sz w:val="24"/>
          <w:szCs w:val="24"/>
        </w:rPr>
        <w:t xml:space="preserve">Children from 6 – 18 years of age </w:t>
      </w:r>
      <w:r w:rsidR="008349DE">
        <w:rPr>
          <w:rFonts w:ascii="Times New Roman" w:hAnsi="Times New Roman"/>
          <w:sz w:val="24"/>
          <w:szCs w:val="24"/>
        </w:rPr>
        <w:t xml:space="preserve">currently on CHIP </w:t>
      </w:r>
      <w:r>
        <w:rPr>
          <w:rFonts w:ascii="Times New Roman" w:hAnsi="Times New Roman"/>
          <w:sz w:val="24"/>
          <w:szCs w:val="24"/>
        </w:rPr>
        <w:t>will be mandator</w:t>
      </w:r>
      <w:r w:rsidR="00DF0FC9">
        <w:rPr>
          <w:rFonts w:ascii="Times New Roman" w:hAnsi="Times New Roman"/>
          <w:sz w:val="24"/>
          <w:szCs w:val="24"/>
        </w:rPr>
        <w:t>ily moved from CHIP to Medicaid due to the ACA’s provision.  This creates the situation in which Utah will have the pay the marginal cost between the state’s CHIP program and Medicaid program.  This marginal cost is included in the total cost for scenario one.  The following spreadsheet provides details on the difference between the CHIP and Medicaid program costs and demonstrates the net cost to the state.</w:t>
      </w:r>
    </w:p>
    <w:p w:rsidR="00DF0FC9" w:rsidRDefault="00DF0FC9">
      <w:pPr>
        <w:spacing w:after="0" w:line="240" w:lineRule="auto"/>
        <w:rPr>
          <w:rFonts w:ascii="Times New Roman" w:hAnsi="Times New Roman"/>
          <w:sz w:val="24"/>
          <w:szCs w:val="24"/>
        </w:rPr>
      </w:pPr>
    </w:p>
    <w:p w:rsidR="00665A52" w:rsidRDefault="00101C35">
      <w:pPr>
        <w:spacing w:after="0" w:line="240" w:lineRule="auto"/>
        <w:rPr>
          <w:rFonts w:ascii="Times New Roman" w:hAnsi="Times New Roman"/>
          <w:sz w:val="24"/>
          <w:szCs w:val="24"/>
        </w:rPr>
      </w:pPr>
      <w:r w:rsidRPr="00101C35">
        <w:rPr>
          <w:noProof/>
          <w:szCs w:val="24"/>
          <w:lang w:eastAsia="en-US"/>
        </w:rPr>
        <w:drawing>
          <wp:inline distT="0" distB="0" distL="0" distR="0">
            <wp:extent cx="9509760" cy="1947361"/>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9509760" cy="1947361"/>
                    </a:xfrm>
                    <a:prstGeom prst="rect">
                      <a:avLst/>
                    </a:prstGeom>
                    <a:noFill/>
                    <a:ln w="9525">
                      <a:noFill/>
                      <a:miter lim="800000"/>
                      <a:headEnd/>
                      <a:tailEnd/>
                    </a:ln>
                  </pic:spPr>
                </pic:pic>
              </a:graphicData>
            </a:graphic>
          </wp:inline>
        </w:drawing>
      </w:r>
    </w:p>
    <w:p w:rsidR="00665A52" w:rsidRDefault="00665A52">
      <w:pPr>
        <w:spacing w:after="0" w:line="240" w:lineRule="auto"/>
        <w:rPr>
          <w:rFonts w:ascii="Times New Roman" w:hAnsi="Times New Roman"/>
          <w:sz w:val="24"/>
          <w:szCs w:val="24"/>
        </w:rPr>
      </w:pPr>
    </w:p>
    <w:p w:rsidR="0029301B" w:rsidRDefault="0029301B">
      <w:pPr>
        <w:spacing w:after="0" w:line="240" w:lineRule="auto"/>
        <w:rPr>
          <w:rFonts w:ascii="Times New Roman" w:hAnsi="Times New Roman"/>
          <w:sz w:val="24"/>
          <w:szCs w:val="24"/>
        </w:rPr>
        <w:sectPr w:rsidR="0029301B" w:rsidSect="004B1220">
          <w:pgSz w:w="15840" w:h="12240" w:orient="landscape"/>
          <w:pgMar w:top="1440" w:right="576" w:bottom="1440" w:left="288" w:header="720" w:footer="720" w:gutter="0"/>
          <w:cols w:space="720"/>
          <w:docGrid w:linePitch="360"/>
        </w:sectPr>
      </w:pPr>
    </w:p>
    <w:p w:rsidR="00DF4736" w:rsidRPr="00A62853" w:rsidRDefault="00DF4736" w:rsidP="00DF4736">
      <w:pPr>
        <w:spacing w:after="240"/>
        <w:rPr>
          <w:rFonts w:ascii="Times New Roman" w:hAnsi="Times New Roman"/>
          <w:b/>
          <w:i/>
          <w:sz w:val="24"/>
          <w:szCs w:val="24"/>
        </w:rPr>
      </w:pPr>
      <w:r w:rsidRPr="00A62853">
        <w:rPr>
          <w:rFonts w:ascii="Times New Roman" w:hAnsi="Times New Roman"/>
          <w:b/>
          <w:i/>
          <w:sz w:val="24"/>
          <w:szCs w:val="24"/>
        </w:rPr>
        <w:lastRenderedPageBreak/>
        <w:t xml:space="preserve">PCG-MESM </w:t>
      </w:r>
      <w:r>
        <w:rPr>
          <w:rFonts w:ascii="Times New Roman" w:hAnsi="Times New Roman"/>
          <w:b/>
          <w:i/>
          <w:sz w:val="24"/>
          <w:szCs w:val="24"/>
        </w:rPr>
        <w:t>–</w:t>
      </w:r>
      <w:r w:rsidRPr="00A62853">
        <w:rPr>
          <w:rFonts w:ascii="Times New Roman" w:hAnsi="Times New Roman"/>
          <w:b/>
          <w:i/>
          <w:sz w:val="24"/>
          <w:szCs w:val="24"/>
        </w:rPr>
        <w:t xml:space="preserve"> </w:t>
      </w:r>
      <w:r>
        <w:rPr>
          <w:rFonts w:ascii="Times New Roman" w:hAnsi="Times New Roman"/>
          <w:b/>
          <w:i/>
          <w:sz w:val="24"/>
          <w:szCs w:val="24"/>
        </w:rPr>
        <w:t>FMAP Results</w:t>
      </w:r>
    </w:p>
    <w:p w:rsidR="00DF4736" w:rsidRDefault="00DF4736" w:rsidP="00DF4736">
      <w:pPr>
        <w:spacing w:after="0" w:line="240" w:lineRule="auto"/>
        <w:rPr>
          <w:rFonts w:ascii="Times New Roman" w:hAnsi="Times New Roman"/>
          <w:sz w:val="24"/>
          <w:szCs w:val="24"/>
        </w:rPr>
      </w:pPr>
      <w:r>
        <w:rPr>
          <w:rFonts w:ascii="Times New Roman" w:hAnsi="Times New Roman"/>
          <w:sz w:val="24"/>
          <w:szCs w:val="24"/>
        </w:rPr>
        <w:t xml:space="preserve">Federal Medical Assistance Percentage, or FMAP, is the percentage of the Federal government’s contribution to the Utah Medicaid program. The 2013 calculated FMAP rate for Utah is </w:t>
      </w:r>
      <w:r w:rsidR="005521DC">
        <w:rPr>
          <w:rFonts w:ascii="Times New Roman" w:hAnsi="Times New Roman"/>
          <w:sz w:val="24"/>
          <w:szCs w:val="24"/>
        </w:rPr>
        <w:t>71.2</w:t>
      </w:r>
      <w:r>
        <w:rPr>
          <w:rFonts w:ascii="Times New Roman" w:hAnsi="Times New Roman"/>
          <w:sz w:val="24"/>
          <w:szCs w:val="24"/>
        </w:rPr>
        <w:t>%.</w:t>
      </w:r>
      <w:r w:rsidR="005521DC">
        <w:rPr>
          <w:rFonts w:ascii="Times New Roman" w:hAnsi="Times New Roman"/>
          <w:sz w:val="24"/>
          <w:szCs w:val="24"/>
        </w:rPr>
        <w:t xml:space="preserve"> This number is Utah’s average FMAP from 2004 – 2012.</w:t>
      </w:r>
      <w:r>
        <w:rPr>
          <w:rFonts w:ascii="Times New Roman" w:hAnsi="Times New Roman"/>
          <w:sz w:val="24"/>
          <w:szCs w:val="24"/>
        </w:rPr>
        <w:t xml:space="preserve"> This FMAP rate is assumed to remain constant throughout </w:t>
      </w:r>
      <w:r w:rsidR="008A5161">
        <w:rPr>
          <w:rFonts w:ascii="Times New Roman" w:hAnsi="Times New Roman"/>
          <w:sz w:val="24"/>
          <w:szCs w:val="24"/>
        </w:rPr>
        <w:t>all</w:t>
      </w:r>
      <w:r>
        <w:rPr>
          <w:rFonts w:ascii="Times New Roman" w:hAnsi="Times New Roman"/>
          <w:sz w:val="24"/>
          <w:szCs w:val="24"/>
        </w:rPr>
        <w:t xml:space="preserve"> 10 years of modeling. </w:t>
      </w:r>
    </w:p>
    <w:p w:rsidR="00DF4736" w:rsidRDefault="00DF4736" w:rsidP="00DF4736">
      <w:pPr>
        <w:spacing w:after="0" w:line="240" w:lineRule="auto"/>
        <w:rPr>
          <w:rFonts w:ascii="Times New Roman" w:hAnsi="Times New Roman"/>
          <w:sz w:val="24"/>
          <w:szCs w:val="24"/>
        </w:rPr>
      </w:pPr>
    </w:p>
    <w:p w:rsidR="00DF4736" w:rsidRDefault="00DF4736" w:rsidP="00DF4736">
      <w:pPr>
        <w:spacing w:after="0" w:line="240" w:lineRule="auto"/>
        <w:rPr>
          <w:rFonts w:ascii="Times New Roman" w:hAnsi="Times New Roman"/>
          <w:sz w:val="24"/>
          <w:szCs w:val="24"/>
        </w:rPr>
      </w:pPr>
      <w:r>
        <w:rPr>
          <w:rFonts w:ascii="Times New Roman" w:hAnsi="Times New Roman"/>
          <w:sz w:val="24"/>
          <w:szCs w:val="24"/>
        </w:rPr>
        <w:t xml:space="preserve">The FMAP rate for the Mandatory Expansion and the Woodwork impact will be equivalent to the base FMAP rate – </w:t>
      </w:r>
      <w:r w:rsidR="005521DC">
        <w:rPr>
          <w:rFonts w:ascii="Times New Roman" w:hAnsi="Times New Roman"/>
          <w:sz w:val="24"/>
          <w:szCs w:val="24"/>
        </w:rPr>
        <w:t>71.2</w:t>
      </w:r>
      <w:r>
        <w:rPr>
          <w:rFonts w:ascii="Times New Roman" w:hAnsi="Times New Roman"/>
          <w:sz w:val="24"/>
          <w:szCs w:val="24"/>
        </w:rPr>
        <w:t xml:space="preserve">%. </w:t>
      </w:r>
    </w:p>
    <w:p w:rsidR="00DF4736" w:rsidRDefault="00DF4736" w:rsidP="00DF4736">
      <w:pPr>
        <w:spacing w:after="0" w:line="240" w:lineRule="auto"/>
        <w:rPr>
          <w:rFonts w:ascii="Times New Roman" w:hAnsi="Times New Roman"/>
          <w:sz w:val="24"/>
          <w:szCs w:val="24"/>
        </w:rPr>
      </w:pPr>
    </w:p>
    <w:p w:rsidR="00DF4736" w:rsidRDefault="00DF4736" w:rsidP="00DF4736">
      <w:pPr>
        <w:spacing w:after="0" w:line="240" w:lineRule="auto"/>
        <w:rPr>
          <w:rFonts w:ascii="Times New Roman" w:hAnsi="Times New Roman"/>
          <w:sz w:val="24"/>
          <w:szCs w:val="24"/>
        </w:rPr>
      </w:pPr>
      <w:r>
        <w:rPr>
          <w:rFonts w:ascii="Times New Roman" w:hAnsi="Times New Roman"/>
          <w:sz w:val="24"/>
          <w:szCs w:val="24"/>
        </w:rPr>
        <w:t>The FMAP rate for the Optional Expansion will be as follows:</w:t>
      </w:r>
    </w:p>
    <w:p w:rsidR="00DF4736" w:rsidRDefault="00DF4736" w:rsidP="00DF4736">
      <w:pPr>
        <w:spacing w:after="0" w:line="240" w:lineRule="auto"/>
        <w:rPr>
          <w:rFonts w:ascii="Times New Roman" w:hAnsi="Times New Roman"/>
          <w:sz w:val="24"/>
          <w:szCs w:val="24"/>
        </w:rPr>
      </w:pPr>
    </w:p>
    <w:p w:rsidR="00DF4736" w:rsidRDefault="00B963E3" w:rsidP="008A5161">
      <w:pPr>
        <w:spacing w:after="0" w:line="240" w:lineRule="auto"/>
        <w:jc w:val="center"/>
        <w:rPr>
          <w:rFonts w:ascii="Times New Roman" w:hAnsi="Times New Roman"/>
          <w:sz w:val="24"/>
          <w:szCs w:val="24"/>
        </w:rPr>
      </w:pPr>
      <w:r w:rsidRPr="00B963E3">
        <w:rPr>
          <w:noProof/>
          <w:szCs w:val="24"/>
          <w:lang w:eastAsia="en-US"/>
        </w:rPr>
        <w:drawing>
          <wp:inline distT="0" distB="0" distL="0" distR="0">
            <wp:extent cx="3295650" cy="329565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3295650" cy="3295650"/>
                    </a:xfrm>
                    <a:prstGeom prst="rect">
                      <a:avLst/>
                    </a:prstGeom>
                    <a:noFill/>
                    <a:ln w="9525">
                      <a:noFill/>
                      <a:miter lim="800000"/>
                      <a:headEnd/>
                      <a:tailEnd/>
                    </a:ln>
                  </pic:spPr>
                </pic:pic>
              </a:graphicData>
            </a:graphic>
          </wp:inline>
        </w:drawing>
      </w:r>
    </w:p>
    <w:p w:rsidR="008A5161" w:rsidRDefault="008A5161" w:rsidP="00DF4736">
      <w:pPr>
        <w:spacing w:after="0" w:line="240" w:lineRule="auto"/>
        <w:rPr>
          <w:rFonts w:ascii="Times New Roman" w:hAnsi="Times New Roman"/>
          <w:sz w:val="24"/>
          <w:szCs w:val="24"/>
        </w:rPr>
      </w:pPr>
    </w:p>
    <w:p w:rsidR="00DF4736" w:rsidRDefault="00DF4736" w:rsidP="00DF4736">
      <w:pPr>
        <w:spacing w:after="0" w:line="240" w:lineRule="auto"/>
        <w:rPr>
          <w:rFonts w:ascii="Times New Roman" w:hAnsi="Times New Roman"/>
          <w:sz w:val="24"/>
          <w:szCs w:val="24"/>
        </w:rPr>
      </w:pPr>
      <w:r>
        <w:rPr>
          <w:rFonts w:ascii="Times New Roman" w:hAnsi="Times New Roman"/>
          <w:sz w:val="24"/>
          <w:szCs w:val="24"/>
        </w:rPr>
        <w:t xml:space="preserve">The PCG-MESM applied these FMAP rates to the </w:t>
      </w:r>
      <w:r w:rsidR="00B45D09">
        <w:rPr>
          <w:rFonts w:ascii="Times New Roman" w:hAnsi="Times New Roman"/>
          <w:sz w:val="24"/>
          <w:szCs w:val="24"/>
        </w:rPr>
        <w:t xml:space="preserve">applicable </w:t>
      </w:r>
      <w:r>
        <w:rPr>
          <w:rFonts w:ascii="Times New Roman" w:hAnsi="Times New Roman"/>
          <w:sz w:val="24"/>
          <w:szCs w:val="24"/>
        </w:rPr>
        <w:t>scenarios</w:t>
      </w:r>
      <w:r w:rsidR="00B45D09">
        <w:rPr>
          <w:rFonts w:ascii="Times New Roman" w:hAnsi="Times New Roman"/>
          <w:sz w:val="24"/>
          <w:szCs w:val="24"/>
        </w:rPr>
        <w:t xml:space="preserve"> (e.g. 71.2% for woodwork and the enhanced federal match to the optional scenarios)</w:t>
      </w:r>
      <w:r>
        <w:rPr>
          <w:rFonts w:ascii="Times New Roman" w:hAnsi="Times New Roman"/>
          <w:sz w:val="24"/>
          <w:szCs w:val="24"/>
        </w:rPr>
        <w:t xml:space="preserve"> </w:t>
      </w:r>
      <w:r w:rsidR="00097542">
        <w:rPr>
          <w:rFonts w:ascii="Times New Roman" w:hAnsi="Times New Roman"/>
          <w:sz w:val="24"/>
          <w:szCs w:val="24"/>
        </w:rPr>
        <w:t>when producing</w:t>
      </w:r>
      <w:r>
        <w:rPr>
          <w:rFonts w:ascii="Times New Roman" w:hAnsi="Times New Roman"/>
          <w:sz w:val="24"/>
          <w:szCs w:val="24"/>
        </w:rPr>
        <w:t xml:space="preserve"> the Federal and State share amounts.</w:t>
      </w:r>
    </w:p>
    <w:p w:rsidR="00DF4736" w:rsidRDefault="00DF4736" w:rsidP="00DF4736">
      <w:pPr>
        <w:spacing w:after="0" w:line="240" w:lineRule="auto"/>
        <w:rPr>
          <w:rFonts w:ascii="Times New Roman" w:hAnsi="Times New Roman"/>
          <w:b/>
          <w:color w:val="548DD4" w:themeColor="text2" w:themeTint="99"/>
          <w:sz w:val="28"/>
          <w:szCs w:val="24"/>
        </w:rPr>
      </w:pPr>
    </w:p>
    <w:p w:rsidR="00DF4736" w:rsidRDefault="00DF4736" w:rsidP="00DF4736">
      <w:pPr>
        <w:spacing w:after="0" w:line="240" w:lineRule="auto"/>
        <w:rPr>
          <w:rFonts w:ascii="Times New Roman" w:hAnsi="Times New Roman"/>
          <w:b/>
          <w:color w:val="548DD4" w:themeColor="text2" w:themeTint="99"/>
          <w:sz w:val="28"/>
          <w:szCs w:val="24"/>
        </w:rPr>
        <w:sectPr w:rsidR="00DF4736" w:rsidSect="00D96DD5">
          <w:pgSz w:w="12240" w:h="15840"/>
          <w:pgMar w:top="576" w:right="1440" w:bottom="288" w:left="1440" w:header="720" w:footer="720" w:gutter="0"/>
          <w:cols w:space="720"/>
          <w:docGrid w:linePitch="360"/>
        </w:sectPr>
      </w:pPr>
    </w:p>
    <w:p w:rsidR="00DF4736" w:rsidRDefault="00DF4736" w:rsidP="00DF4736">
      <w:pPr>
        <w:spacing w:after="0" w:line="240" w:lineRule="auto"/>
        <w:rPr>
          <w:rFonts w:ascii="Times New Roman" w:hAnsi="Times New Roman"/>
          <w:i/>
          <w:sz w:val="24"/>
          <w:szCs w:val="24"/>
        </w:rPr>
      </w:pPr>
    </w:p>
    <w:p w:rsidR="007D3561" w:rsidRDefault="008940A0" w:rsidP="007D3561">
      <w:pPr>
        <w:spacing w:after="240"/>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t>C</w:t>
      </w:r>
      <w:r w:rsidR="003A3481">
        <w:rPr>
          <w:rFonts w:ascii="Times New Roman" w:hAnsi="Times New Roman"/>
          <w:b/>
          <w:color w:val="548DD4" w:themeColor="text2" w:themeTint="99"/>
          <w:sz w:val="28"/>
          <w:szCs w:val="24"/>
        </w:rPr>
        <w:t xml:space="preserve">rowd </w:t>
      </w:r>
      <w:r w:rsidR="007D3561">
        <w:rPr>
          <w:rFonts w:ascii="Times New Roman" w:hAnsi="Times New Roman"/>
          <w:b/>
          <w:color w:val="548DD4" w:themeColor="text2" w:themeTint="99"/>
          <w:sz w:val="28"/>
          <w:szCs w:val="24"/>
        </w:rPr>
        <w:t>Out</w:t>
      </w:r>
    </w:p>
    <w:p w:rsidR="007D3561" w:rsidRDefault="007D3561" w:rsidP="007D3561">
      <w:pPr>
        <w:spacing w:after="0"/>
        <w:rPr>
          <w:rFonts w:ascii="Times New Roman" w:hAnsi="Times New Roman"/>
          <w:sz w:val="24"/>
          <w:szCs w:val="24"/>
        </w:rPr>
      </w:pPr>
      <w:r w:rsidRPr="00CC2AE5">
        <w:rPr>
          <w:rFonts w:ascii="Times New Roman" w:hAnsi="Times New Roman"/>
          <w:sz w:val="24"/>
          <w:szCs w:val="24"/>
        </w:rPr>
        <w:t xml:space="preserve">There is a fear that </w:t>
      </w:r>
      <w:r>
        <w:rPr>
          <w:rFonts w:ascii="Times New Roman" w:hAnsi="Times New Roman"/>
          <w:sz w:val="24"/>
          <w:szCs w:val="24"/>
        </w:rPr>
        <w:t xml:space="preserve">expanded </w:t>
      </w:r>
      <w:r w:rsidRPr="00CC2AE5">
        <w:rPr>
          <w:rFonts w:ascii="Times New Roman" w:hAnsi="Times New Roman"/>
          <w:sz w:val="24"/>
          <w:szCs w:val="24"/>
        </w:rPr>
        <w:t>access to public health insurance coverage will “crowd out” private health insurance coverage. Crowd out is the extent to which this Medicaid expansion will actually reduce private insurance coverage. Estimating the impact of crowd out is</w:t>
      </w:r>
      <w:r w:rsidR="00815BA9">
        <w:rPr>
          <w:rFonts w:ascii="Times New Roman" w:hAnsi="Times New Roman"/>
          <w:sz w:val="24"/>
          <w:szCs w:val="24"/>
        </w:rPr>
        <w:t xml:space="preserve"> an</w:t>
      </w:r>
      <w:r w:rsidRPr="00CC2AE5">
        <w:rPr>
          <w:rFonts w:ascii="Times New Roman" w:hAnsi="Times New Roman"/>
          <w:sz w:val="24"/>
          <w:szCs w:val="24"/>
        </w:rPr>
        <w:t xml:space="preserve"> important consideration when calculating the number of insured who will enroll in Medicaid due to the Medicaid expansion. </w:t>
      </w:r>
      <w:r>
        <w:rPr>
          <w:rFonts w:ascii="Times New Roman" w:hAnsi="Times New Roman"/>
          <w:sz w:val="24"/>
          <w:szCs w:val="24"/>
        </w:rPr>
        <w:t>This section of the report explains crowd out in more detail and projects the potential cost effects of the phenomena.</w:t>
      </w:r>
      <w:r w:rsidR="003A3481">
        <w:rPr>
          <w:rFonts w:ascii="Times New Roman" w:hAnsi="Times New Roman"/>
          <w:sz w:val="24"/>
          <w:szCs w:val="24"/>
        </w:rPr>
        <w:t xml:space="preserve"> One interesting aspect is that crow</w:t>
      </w:r>
      <w:r w:rsidR="00815BA9">
        <w:rPr>
          <w:rFonts w:ascii="Times New Roman" w:hAnsi="Times New Roman"/>
          <w:sz w:val="24"/>
          <w:szCs w:val="24"/>
        </w:rPr>
        <w:t>d</w:t>
      </w:r>
      <w:r w:rsidR="003A3481">
        <w:rPr>
          <w:rFonts w:ascii="Times New Roman" w:hAnsi="Times New Roman"/>
          <w:sz w:val="24"/>
          <w:szCs w:val="24"/>
        </w:rPr>
        <w:t xml:space="preserve"> out research to date has focused on the behavior of individuals.  Given the complexities of the ACA and the impact it has on small businesses, there is an expected effect on the actions of businesses as well.  Research on this area is limited to date</w:t>
      </w:r>
      <w:r w:rsidR="00B963E3">
        <w:rPr>
          <w:rFonts w:ascii="Times New Roman" w:hAnsi="Times New Roman"/>
          <w:sz w:val="24"/>
          <w:szCs w:val="24"/>
        </w:rPr>
        <w:t xml:space="preserve"> as these effects are very challenging to measure</w:t>
      </w:r>
      <w:r w:rsidR="003A3481">
        <w:rPr>
          <w:rFonts w:ascii="Times New Roman" w:hAnsi="Times New Roman"/>
          <w:sz w:val="24"/>
          <w:szCs w:val="24"/>
        </w:rPr>
        <w:t>.</w:t>
      </w:r>
    </w:p>
    <w:p w:rsidR="007D3561" w:rsidRDefault="007D3561" w:rsidP="007D3561">
      <w:pPr>
        <w:spacing w:after="0"/>
        <w:rPr>
          <w:rFonts w:ascii="Times New Roman" w:hAnsi="Times New Roman"/>
          <w:sz w:val="24"/>
          <w:szCs w:val="24"/>
        </w:rPr>
      </w:pPr>
    </w:p>
    <w:p w:rsidR="008D4322" w:rsidRDefault="007D3561" w:rsidP="007D3561">
      <w:pPr>
        <w:spacing w:after="0"/>
        <w:rPr>
          <w:rFonts w:ascii="Times New Roman" w:hAnsi="Times New Roman"/>
          <w:sz w:val="24"/>
          <w:szCs w:val="24"/>
        </w:rPr>
      </w:pPr>
      <w:r w:rsidRPr="00CC2AE5">
        <w:rPr>
          <w:rFonts w:ascii="Times New Roman" w:hAnsi="Times New Roman"/>
          <w:sz w:val="24"/>
          <w:szCs w:val="24"/>
        </w:rPr>
        <w:t>The term “crowd out” was first coined in 1996 by economists David Cutler and Jonathan Gruber.</w:t>
      </w:r>
      <w:r>
        <w:rPr>
          <w:rFonts w:ascii="Times New Roman" w:hAnsi="Times New Roman"/>
          <w:sz w:val="24"/>
          <w:szCs w:val="24"/>
        </w:rPr>
        <w:t xml:space="preserve"> </w:t>
      </w:r>
      <w:r w:rsidRPr="00CC2AE5">
        <w:rPr>
          <w:rFonts w:ascii="Times New Roman" w:hAnsi="Times New Roman"/>
          <w:sz w:val="24"/>
          <w:szCs w:val="24"/>
        </w:rPr>
        <w:t xml:space="preserve">Since this 1996 study there is a significant body of literature related to crowd-out. But as </w:t>
      </w:r>
      <w:r w:rsidR="00815BA9">
        <w:rPr>
          <w:rFonts w:ascii="Times New Roman" w:hAnsi="Times New Roman"/>
          <w:sz w:val="24"/>
          <w:szCs w:val="24"/>
        </w:rPr>
        <w:t xml:space="preserve">Lisa </w:t>
      </w:r>
      <w:r w:rsidRPr="00CC2AE5">
        <w:rPr>
          <w:rFonts w:ascii="Times New Roman" w:hAnsi="Times New Roman"/>
          <w:sz w:val="24"/>
          <w:szCs w:val="24"/>
        </w:rPr>
        <w:t xml:space="preserve">Dubay notes, the studies utilized different methodologies and each studied crowd-out in different ways. Gruber and </w:t>
      </w:r>
      <w:r w:rsidR="00815BA9">
        <w:rPr>
          <w:rFonts w:ascii="Times New Roman" w:hAnsi="Times New Roman"/>
          <w:sz w:val="24"/>
          <w:szCs w:val="24"/>
        </w:rPr>
        <w:t xml:space="preserve">Kosali </w:t>
      </w:r>
      <w:r w:rsidRPr="00CC2AE5">
        <w:rPr>
          <w:rFonts w:ascii="Times New Roman" w:hAnsi="Times New Roman"/>
          <w:sz w:val="24"/>
          <w:szCs w:val="24"/>
        </w:rPr>
        <w:t xml:space="preserve">Simon (2012) summarized the different crowd out studies and summarized data sources used, methodology, crowd-out definition, and results. </w:t>
      </w:r>
    </w:p>
    <w:p w:rsidR="008D4322" w:rsidRDefault="008D4322">
      <w:pPr>
        <w:spacing w:after="0" w:line="240" w:lineRule="auto"/>
        <w:rPr>
          <w:rFonts w:ascii="Times New Roman" w:hAnsi="Times New Roman"/>
          <w:sz w:val="24"/>
          <w:szCs w:val="24"/>
        </w:rPr>
      </w:pPr>
      <w:r>
        <w:rPr>
          <w:rFonts w:ascii="Times New Roman" w:hAnsi="Times New Roman"/>
          <w:sz w:val="24"/>
          <w:szCs w:val="24"/>
        </w:rPr>
        <w:br w:type="page"/>
      </w:r>
    </w:p>
    <w:tbl>
      <w:tblPr>
        <w:tblW w:w="10225" w:type="dxa"/>
        <w:jc w:val="center"/>
        <w:tblInd w:w="93" w:type="dxa"/>
        <w:tblLook w:val="04A0"/>
      </w:tblPr>
      <w:tblGrid>
        <w:gridCol w:w="1365"/>
        <w:gridCol w:w="1240"/>
        <w:gridCol w:w="3420"/>
        <w:gridCol w:w="2440"/>
        <w:gridCol w:w="1760"/>
      </w:tblGrid>
      <w:tr w:rsidR="007D3561" w:rsidRPr="00CC2AE5" w:rsidTr="008D4322">
        <w:trPr>
          <w:trHeight w:val="368"/>
          <w:jc w:val="center"/>
        </w:trPr>
        <w:tc>
          <w:tcPr>
            <w:tcW w:w="1365" w:type="dxa"/>
            <w:tcBorders>
              <w:top w:val="single" w:sz="4" w:space="0" w:color="auto"/>
              <w:left w:val="single" w:sz="4" w:space="0" w:color="auto"/>
              <w:bottom w:val="single" w:sz="4" w:space="0" w:color="auto"/>
              <w:right w:val="single" w:sz="4" w:space="0" w:color="auto"/>
            </w:tcBorders>
            <w:shd w:val="clear" w:color="auto" w:fill="1F497D"/>
            <w:noWrap/>
            <w:vAlign w:val="center"/>
            <w:hideMark/>
          </w:tcPr>
          <w:p w:rsidR="007D3561" w:rsidRPr="00CC2AE5" w:rsidRDefault="007D3561" w:rsidP="00D96DD5">
            <w:pPr>
              <w:spacing w:after="0" w:line="240" w:lineRule="auto"/>
              <w:jc w:val="center"/>
              <w:rPr>
                <w:rFonts w:ascii="Times New Roman" w:hAnsi="Times New Roman"/>
                <w:b/>
                <w:bCs/>
                <w:color w:val="FFFFFF"/>
                <w:sz w:val="20"/>
                <w:szCs w:val="20"/>
              </w:rPr>
            </w:pPr>
            <w:r w:rsidRPr="00CC2AE5">
              <w:rPr>
                <w:rFonts w:ascii="Times New Roman" w:hAnsi="Times New Roman"/>
                <w:b/>
                <w:bCs/>
                <w:color w:val="FFFFFF"/>
                <w:sz w:val="20"/>
                <w:szCs w:val="20"/>
              </w:rPr>
              <w:lastRenderedPageBreak/>
              <w:t>Article</w:t>
            </w:r>
          </w:p>
        </w:tc>
        <w:tc>
          <w:tcPr>
            <w:tcW w:w="1240" w:type="dxa"/>
            <w:tcBorders>
              <w:top w:val="single" w:sz="4" w:space="0" w:color="auto"/>
              <w:left w:val="nil"/>
              <w:bottom w:val="single" w:sz="4" w:space="0" w:color="auto"/>
              <w:right w:val="single" w:sz="4" w:space="0" w:color="auto"/>
            </w:tcBorders>
            <w:shd w:val="clear" w:color="auto" w:fill="1F497D"/>
            <w:noWrap/>
            <w:vAlign w:val="center"/>
            <w:hideMark/>
          </w:tcPr>
          <w:p w:rsidR="007D3561" w:rsidRPr="00CC2AE5" w:rsidRDefault="007D3561" w:rsidP="00D96DD5">
            <w:pPr>
              <w:spacing w:after="0" w:line="240" w:lineRule="auto"/>
              <w:jc w:val="center"/>
              <w:rPr>
                <w:rFonts w:ascii="Times New Roman" w:hAnsi="Times New Roman"/>
                <w:b/>
                <w:bCs/>
                <w:color w:val="FFFFFF"/>
                <w:sz w:val="20"/>
                <w:szCs w:val="20"/>
              </w:rPr>
            </w:pPr>
            <w:r w:rsidRPr="00CC2AE5">
              <w:rPr>
                <w:rFonts w:ascii="Times New Roman" w:hAnsi="Times New Roman"/>
                <w:b/>
                <w:bCs/>
                <w:color w:val="FFFFFF"/>
                <w:sz w:val="20"/>
                <w:szCs w:val="20"/>
              </w:rPr>
              <w:t xml:space="preserve"> Data source</w:t>
            </w:r>
          </w:p>
        </w:tc>
        <w:tc>
          <w:tcPr>
            <w:tcW w:w="3420" w:type="dxa"/>
            <w:tcBorders>
              <w:top w:val="single" w:sz="4" w:space="0" w:color="auto"/>
              <w:left w:val="nil"/>
              <w:bottom w:val="single" w:sz="4" w:space="0" w:color="auto"/>
              <w:right w:val="single" w:sz="4" w:space="0" w:color="auto"/>
            </w:tcBorders>
            <w:shd w:val="clear" w:color="auto" w:fill="1F497D"/>
            <w:noWrap/>
            <w:vAlign w:val="center"/>
            <w:hideMark/>
          </w:tcPr>
          <w:p w:rsidR="007D3561" w:rsidRPr="00CC2AE5" w:rsidRDefault="007D3561" w:rsidP="00D96DD5">
            <w:pPr>
              <w:spacing w:after="0" w:line="240" w:lineRule="auto"/>
              <w:jc w:val="center"/>
              <w:rPr>
                <w:rFonts w:ascii="Times New Roman" w:hAnsi="Times New Roman"/>
                <w:b/>
                <w:bCs/>
                <w:color w:val="FFFFFF"/>
                <w:sz w:val="20"/>
                <w:szCs w:val="20"/>
              </w:rPr>
            </w:pPr>
            <w:r w:rsidRPr="00CC2AE5">
              <w:rPr>
                <w:rFonts w:ascii="Times New Roman" w:hAnsi="Times New Roman"/>
                <w:b/>
                <w:bCs/>
                <w:color w:val="FFFFFF"/>
                <w:sz w:val="20"/>
                <w:szCs w:val="20"/>
              </w:rPr>
              <w:t xml:space="preserve">Methodology </w:t>
            </w:r>
          </w:p>
        </w:tc>
        <w:tc>
          <w:tcPr>
            <w:tcW w:w="2440" w:type="dxa"/>
            <w:tcBorders>
              <w:top w:val="single" w:sz="4" w:space="0" w:color="auto"/>
              <w:left w:val="nil"/>
              <w:bottom w:val="single" w:sz="4" w:space="0" w:color="auto"/>
              <w:right w:val="single" w:sz="4" w:space="0" w:color="auto"/>
            </w:tcBorders>
            <w:shd w:val="clear" w:color="auto" w:fill="1F497D"/>
            <w:noWrap/>
            <w:vAlign w:val="center"/>
            <w:hideMark/>
          </w:tcPr>
          <w:p w:rsidR="007D3561" w:rsidRPr="00CC2AE5" w:rsidRDefault="007D3561" w:rsidP="00D96DD5">
            <w:pPr>
              <w:spacing w:after="0" w:line="240" w:lineRule="auto"/>
              <w:jc w:val="center"/>
              <w:rPr>
                <w:rFonts w:ascii="Times New Roman" w:hAnsi="Times New Roman"/>
                <w:b/>
                <w:bCs/>
                <w:color w:val="FFFFFF"/>
                <w:sz w:val="20"/>
                <w:szCs w:val="20"/>
              </w:rPr>
            </w:pPr>
            <w:r w:rsidRPr="00CC2AE5">
              <w:rPr>
                <w:rFonts w:ascii="Times New Roman" w:hAnsi="Times New Roman"/>
                <w:b/>
                <w:bCs/>
                <w:color w:val="FFFFFF"/>
                <w:sz w:val="20"/>
                <w:szCs w:val="20"/>
              </w:rPr>
              <w:t xml:space="preserve"> Crowd-out definition</w:t>
            </w:r>
          </w:p>
        </w:tc>
        <w:tc>
          <w:tcPr>
            <w:tcW w:w="1760" w:type="dxa"/>
            <w:tcBorders>
              <w:top w:val="single" w:sz="4" w:space="0" w:color="auto"/>
              <w:left w:val="nil"/>
              <w:bottom w:val="single" w:sz="4" w:space="0" w:color="auto"/>
              <w:right w:val="single" w:sz="4" w:space="0" w:color="auto"/>
            </w:tcBorders>
            <w:shd w:val="clear" w:color="auto" w:fill="1F497D"/>
            <w:noWrap/>
            <w:vAlign w:val="center"/>
            <w:hideMark/>
          </w:tcPr>
          <w:p w:rsidR="007D3561" w:rsidRPr="00CC2AE5" w:rsidRDefault="007D3561" w:rsidP="00D96DD5">
            <w:pPr>
              <w:spacing w:after="0" w:line="240" w:lineRule="auto"/>
              <w:jc w:val="center"/>
              <w:rPr>
                <w:rFonts w:ascii="Times New Roman" w:hAnsi="Times New Roman"/>
                <w:b/>
                <w:bCs/>
                <w:color w:val="FFFFFF"/>
                <w:sz w:val="20"/>
                <w:szCs w:val="20"/>
              </w:rPr>
            </w:pPr>
            <w:r w:rsidRPr="00CC2AE5">
              <w:rPr>
                <w:rFonts w:ascii="Times New Roman" w:hAnsi="Times New Roman"/>
                <w:b/>
                <w:bCs/>
                <w:color w:val="FFFFFF"/>
                <w:sz w:val="20"/>
                <w:szCs w:val="20"/>
              </w:rPr>
              <w:t xml:space="preserve"> Results</w:t>
            </w:r>
          </w:p>
        </w:tc>
      </w:tr>
      <w:tr w:rsidR="007D3561" w:rsidRPr="00CC2AE5" w:rsidTr="00DF4653">
        <w:trPr>
          <w:trHeight w:val="1065"/>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Cutler and Gruber (1996) </w:t>
            </w:r>
          </w:p>
        </w:tc>
        <w:tc>
          <w:tcPr>
            <w:tcW w:w="1240" w:type="dxa"/>
            <w:tcBorders>
              <w:top w:val="nil"/>
              <w:left w:val="nil"/>
              <w:bottom w:val="single" w:sz="4" w:space="0" w:color="auto"/>
              <w:right w:val="single" w:sz="4" w:space="0" w:color="auto"/>
            </w:tcBorders>
            <w:shd w:val="clear" w:color="auto" w:fill="auto"/>
            <w:noWrap/>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1987–1992 CPS</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Instrument eligibility with simulated eligibility based on entire nation; control for state, year, age; consider family level spillovers</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(Private insurance/public insurance) or (1-(uninsured/public insurance)) </w:t>
            </w:r>
          </w:p>
        </w:tc>
        <w:tc>
          <w:tcPr>
            <w:tcW w:w="176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Children 31%, or children: 40%, family level: 50%</w:t>
            </w:r>
          </w:p>
        </w:tc>
      </w:tr>
      <w:tr w:rsidR="007D3561" w:rsidRPr="00CC2AE5" w:rsidTr="00DF4653">
        <w:trPr>
          <w:trHeight w:val="495"/>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Dubay and Kenney (1996) </w:t>
            </w:r>
          </w:p>
        </w:tc>
        <w:tc>
          <w:tcPr>
            <w:tcW w:w="12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1988 and 1993 CPS</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Change in insurance coverage of children relative to change for adult men</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(Private insurance/public insurance)</w:t>
            </w:r>
          </w:p>
        </w:tc>
        <w:tc>
          <w:tcPr>
            <w:tcW w:w="176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 Below poverty: 15%, 100–133%: 22%</w:t>
            </w:r>
          </w:p>
        </w:tc>
      </w:tr>
      <w:tr w:rsidR="007D3561" w:rsidRPr="00CC2AE5" w:rsidTr="00DF4653">
        <w:trPr>
          <w:trHeight w:val="720"/>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Dubay and Kenney (1997) </w:t>
            </w:r>
          </w:p>
        </w:tc>
        <w:tc>
          <w:tcPr>
            <w:tcW w:w="12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1988 and 1992 CPS </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Change in insurance coverage of pregnant women relative to change for men </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(Private insurance/public insurance) </w:t>
            </w:r>
          </w:p>
        </w:tc>
        <w:tc>
          <w:tcPr>
            <w:tcW w:w="176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Below poverty: 0%, 100–133%: 27%, 133–185%: 59%</w:t>
            </w:r>
          </w:p>
        </w:tc>
      </w:tr>
      <w:tr w:rsidR="007D3561" w:rsidRPr="00CC2AE5" w:rsidTr="00DF4653">
        <w:trPr>
          <w:trHeight w:val="720"/>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Thorpe and Florence (1998)</w:t>
            </w:r>
          </w:p>
        </w:tc>
        <w:tc>
          <w:tcPr>
            <w:tcW w:w="12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1989–1994 NLSY</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Measure movement from private insurance onto Medicaid among children with privately insured parents</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of those entering Medicaid with privately insured parents</w:t>
            </w:r>
          </w:p>
        </w:tc>
        <w:tc>
          <w:tcPr>
            <w:tcW w:w="1760" w:type="dxa"/>
            <w:tcBorders>
              <w:top w:val="nil"/>
              <w:left w:val="nil"/>
              <w:bottom w:val="single" w:sz="4" w:space="0" w:color="auto"/>
              <w:right w:val="single" w:sz="4" w:space="0" w:color="auto"/>
            </w:tcBorders>
            <w:shd w:val="clear" w:color="auto" w:fill="auto"/>
            <w:noWrap/>
            <w:vAlign w:val="center"/>
            <w:hideMark/>
          </w:tcPr>
          <w:p w:rsidR="007D3561" w:rsidRPr="008D4322" w:rsidRDefault="007D3561" w:rsidP="00D96DD5">
            <w:pPr>
              <w:spacing w:after="0" w:line="240" w:lineRule="auto"/>
              <w:jc w:val="center"/>
              <w:rPr>
                <w:rFonts w:ascii="Times New Roman" w:hAnsi="Times New Roman"/>
                <w:sz w:val="19"/>
                <w:szCs w:val="19"/>
              </w:rPr>
            </w:pPr>
            <w:r w:rsidRPr="008D4322">
              <w:rPr>
                <w:rFonts w:ascii="Times New Roman" w:hAnsi="Times New Roman"/>
                <w:sz w:val="19"/>
                <w:szCs w:val="19"/>
              </w:rPr>
              <w:t>16%</w:t>
            </w:r>
          </w:p>
        </w:tc>
      </w:tr>
      <w:tr w:rsidR="007D3561" w:rsidRPr="00CC2AE5" w:rsidTr="00DF4653">
        <w:trPr>
          <w:trHeight w:val="720"/>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Blumberg et al. (2000)</w:t>
            </w:r>
          </w:p>
        </w:tc>
        <w:tc>
          <w:tcPr>
            <w:tcW w:w="12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1990 SIPP Panel </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Compare change in insurance coverage of children made eligible by expansions to those not made eligible</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 of children made eligible losing private relative to gaining public </w:t>
            </w:r>
          </w:p>
        </w:tc>
        <w:tc>
          <w:tcPr>
            <w:tcW w:w="1760" w:type="dxa"/>
            <w:tcBorders>
              <w:top w:val="nil"/>
              <w:left w:val="nil"/>
              <w:bottom w:val="single" w:sz="4" w:space="0" w:color="auto"/>
              <w:right w:val="single" w:sz="4" w:space="0" w:color="auto"/>
            </w:tcBorders>
            <w:shd w:val="clear" w:color="auto" w:fill="auto"/>
            <w:noWrap/>
            <w:vAlign w:val="center"/>
            <w:hideMark/>
          </w:tcPr>
          <w:p w:rsidR="007D3561" w:rsidRPr="008D4322" w:rsidRDefault="007D3561" w:rsidP="00D96DD5">
            <w:pPr>
              <w:spacing w:after="0" w:line="240" w:lineRule="auto"/>
              <w:jc w:val="center"/>
              <w:rPr>
                <w:rFonts w:ascii="Times New Roman" w:hAnsi="Times New Roman"/>
                <w:sz w:val="19"/>
                <w:szCs w:val="19"/>
              </w:rPr>
            </w:pPr>
            <w:r w:rsidRPr="008D4322">
              <w:rPr>
                <w:rFonts w:ascii="Times New Roman" w:hAnsi="Times New Roman"/>
                <w:sz w:val="19"/>
                <w:szCs w:val="19"/>
              </w:rPr>
              <w:t>4%</w:t>
            </w:r>
          </w:p>
        </w:tc>
      </w:tr>
      <w:tr w:rsidR="007D3561" w:rsidRPr="00CC2AE5" w:rsidTr="00DF4653">
        <w:trPr>
          <w:trHeight w:val="870"/>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Yazici and Kaestner (2000)</w:t>
            </w:r>
          </w:p>
        </w:tc>
        <w:tc>
          <w:tcPr>
            <w:tcW w:w="12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1988 and 1992 NLSY </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Compare change in insurance coverage of children becoming eligible to those not becoming eligible </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(1-(uninsured/public insurance)) or (private insurance/public insurance)</w:t>
            </w:r>
          </w:p>
        </w:tc>
        <w:tc>
          <w:tcPr>
            <w:tcW w:w="1760" w:type="dxa"/>
            <w:tcBorders>
              <w:top w:val="nil"/>
              <w:left w:val="nil"/>
              <w:bottom w:val="single" w:sz="4" w:space="0" w:color="auto"/>
              <w:right w:val="single" w:sz="4" w:space="0" w:color="auto"/>
            </w:tcBorders>
            <w:shd w:val="clear" w:color="auto" w:fill="auto"/>
            <w:noWrap/>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55–59%, 5–24%</w:t>
            </w:r>
          </w:p>
        </w:tc>
      </w:tr>
      <w:tr w:rsidR="007D3561" w:rsidRPr="00CC2AE5" w:rsidTr="00DF4653">
        <w:trPr>
          <w:trHeight w:val="1200"/>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Aizer and Grogger (2003)</w:t>
            </w:r>
          </w:p>
        </w:tc>
        <w:tc>
          <w:tcPr>
            <w:tcW w:w="1240" w:type="dxa"/>
            <w:tcBorders>
              <w:top w:val="nil"/>
              <w:left w:val="nil"/>
              <w:bottom w:val="single" w:sz="4" w:space="0" w:color="auto"/>
              <w:right w:val="single" w:sz="4" w:space="0" w:color="auto"/>
            </w:tcBorders>
            <w:shd w:val="clear" w:color="auto" w:fill="auto"/>
            <w:noWrap/>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1995–2002 CPS </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Compare change in insurance, for those above AFDC eligibility vs. below, in states with adult expansion, before vs. after expansion</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Coefficient on private coverage equation (no crowd-out calculations) </w:t>
            </w:r>
          </w:p>
        </w:tc>
        <w:tc>
          <w:tcPr>
            <w:tcW w:w="176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Statistically insignificant effect on private coverage for mothers and for children </w:t>
            </w:r>
          </w:p>
        </w:tc>
      </w:tr>
      <w:tr w:rsidR="007D3561" w:rsidRPr="00CC2AE5" w:rsidTr="00DF4653">
        <w:trPr>
          <w:trHeight w:val="1200"/>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Card and Shore-Sheppard (2004)</w:t>
            </w:r>
          </w:p>
        </w:tc>
        <w:tc>
          <w:tcPr>
            <w:tcW w:w="12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1990–1993 SIPP panels</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Compare changes in insurance coverage of children around income and age limits for eligibility</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(Private insurance/public insurance)</w:t>
            </w:r>
          </w:p>
        </w:tc>
        <w:tc>
          <w:tcPr>
            <w:tcW w:w="176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Below poverty, eligible for &lt;100: 0; below poverty, eligible for 100–133: 50%; 100–133: 0</w:t>
            </w:r>
          </w:p>
        </w:tc>
      </w:tr>
      <w:tr w:rsidR="007D3561" w:rsidRPr="00CC2AE5" w:rsidTr="00DF4653">
        <w:trPr>
          <w:trHeight w:val="960"/>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LoSasso and Buchmueller (2004)</w:t>
            </w:r>
          </w:p>
        </w:tc>
        <w:tc>
          <w:tcPr>
            <w:tcW w:w="1240" w:type="dxa"/>
            <w:tcBorders>
              <w:top w:val="nil"/>
              <w:left w:val="nil"/>
              <w:bottom w:val="single" w:sz="4" w:space="0" w:color="auto"/>
              <w:right w:val="single" w:sz="4" w:space="0" w:color="auto"/>
            </w:tcBorders>
            <w:shd w:val="clear" w:color="auto" w:fill="auto"/>
            <w:noWrap/>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1996–2000 CPS</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Instrument eligibility with simulated eligibility based on entire nation; control for state, year, age, state×year; interact with state waiting periods</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(Private insurance/public insurance)</w:t>
            </w:r>
          </w:p>
        </w:tc>
        <w:tc>
          <w:tcPr>
            <w:tcW w:w="176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Average: 50% varies with state waiting periods</w:t>
            </w:r>
          </w:p>
        </w:tc>
      </w:tr>
      <w:tr w:rsidR="007D3561" w:rsidRPr="00CC2AE5" w:rsidTr="008D4322">
        <w:trPr>
          <w:trHeight w:val="863"/>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Shore-Sheppard (2005)</w:t>
            </w:r>
          </w:p>
        </w:tc>
        <w:tc>
          <w:tcPr>
            <w:tcW w:w="1240" w:type="dxa"/>
            <w:tcBorders>
              <w:top w:val="nil"/>
              <w:left w:val="nil"/>
              <w:bottom w:val="single" w:sz="4" w:space="0" w:color="auto"/>
              <w:right w:val="single" w:sz="4" w:space="0" w:color="auto"/>
            </w:tcBorders>
            <w:shd w:val="clear" w:color="auto" w:fill="auto"/>
            <w:noWrap/>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1987–1995 CPS </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Same as Cutler–Gruber, but add additional controls - children only </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(1-(uninsured/public insurance)) or (private insurance/public insurance)</w:t>
            </w:r>
          </w:p>
        </w:tc>
        <w:tc>
          <w:tcPr>
            <w:tcW w:w="176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33% (age/year controls) to 59% (all controls), 0</w:t>
            </w:r>
          </w:p>
        </w:tc>
      </w:tr>
      <w:tr w:rsidR="007D3561" w:rsidRPr="00CC2AE5" w:rsidTr="00DF4653">
        <w:trPr>
          <w:trHeight w:val="960"/>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Ham and Shore-Sheppard (2005)</w:t>
            </w:r>
          </w:p>
        </w:tc>
        <w:tc>
          <w:tcPr>
            <w:tcW w:w="1240" w:type="dxa"/>
            <w:tcBorders>
              <w:top w:val="nil"/>
              <w:left w:val="nil"/>
              <w:bottom w:val="single" w:sz="4" w:space="0" w:color="auto"/>
              <w:right w:val="single" w:sz="4" w:space="0" w:color="auto"/>
            </w:tcBorders>
            <w:shd w:val="clear" w:color="auto" w:fill="auto"/>
            <w:noWrap/>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1985–1995 SIPP</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 Instrument eligibility with simulated eligibility based on all other states; control for state, year, age</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(Private insurance/public insurance) </w:t>
            </w:r>
          </w:p>
        </w:tc>
        <w:tc>
          <w:tcPr>
            <w:tcW w:w="1760" w:type="dxa"/>
            <w:tcBorders>
              <w:top w:val="nil"/>
              <w:left w:val="nil"/>
              <w:bottom w:val="single" w:sz="4" w:space="0" w:color="auto"/>
              <w:right w:val="single" w:sz="4" w:space="0" w:color="auto"/>
            </w:tcBorders>
            <w:shd w:val="clear" w:color="auto" w:fill="auto"/>
            <w:noWrap/>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No crowd-out</w:t>
            </w:r>
          </w:p>
        </w:tc>
      </w:tr>
      <w:tr w:rsidR="007D3561" w:rsidRPr="00CC2AE5" w:rsidTr="00DF4653">
        <w:trPr>
          <w:trHeight w:val="72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Hudson et al.</w:t>
            </w:r>
          </w:p>
        </w:tc>
        <w:tc>
          <w:tcPr>
            <w:tcW w:w="12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 xml:space="preserve"> (2005) 1996–2002 MEPS </w:t>
            </w:r>
          </w:p>
        </w:tc>
        <w:tc>
          <w:tcPr>
            <w:tcW w:w="342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Compare changes in children made eligible and remaining ineligible; instrument with simulated eligibility</w:t>
            </w:r>
          </w:p>
        </w:tc>
        <w:tc>
          <w:tcPr>
            <w:tcW w:w="244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(private insurance/public insurance)</w:t>
            </w:r>
          </w:p>
        </w:tc>
        <w:tc>
          <w:tcPr>
            <w:tcW w:w="1760" w:type="dxa"/>
            <w:tcBorders>
              <w:top w:val="nil"/>
              <w:left w:val="nil"/>
              <w:bottom w:val="single" w:sz="4" w:space="0" w:color="auto"/>
              <w:right w:val="single" w:sz="4" w:space="0" w:color="auto"/>
            </w:tcBorders>
            <w:shd w:val="clear" w:color="auto" w:fill="auto"/>
            <w:vAlign w:val="center"/>
            <w:hideMark/>
          </w:tcPr>
          <w:p w:rsidR="007D3561" w:rsidRPr="008D4322" w:rsidRDefault="007D3561" w:rsidP="00D96DD5">
            <w:pPr>
              <w:spacing w:after="0" w:line="240" w:lineRule="auto"/>
              <w:rPr>
                <w:rFonts w:ascii="Times New Roman" w:hAnsi="Times New Roman"/>
                <w:sz w:val="19"/>
                <w:szCs w:val="19"/>
              </w:rPr>
            </w:pPr>
            <w:r w:rsidRPr="008D4322">
              <w:rPr>
                <w:rFonts w:ascii="Times New Roman" w:hAnsi="Times New Roman"/>
                <w:sz w:val="19"/>
                <w:szCs w:val="19"/>
              </w:rPr>
              <w:t>Comparison: 25–55%, IV: 39–70%</w:t>
            </w:r>
          </w:p>
        </w:tc>
      </w:tr>
    </w:tbl>
    <w:p w:rsidR="007D3561" w:rsidRPr="00CC2AE5" w:rsidRDefault="007D3561" w:rsidP="007D3561">
      <w:pPr>
        <w:spacing w:after="0"/>
        <w:rPr>
          <w:rFonts w:ascii="Times New Roman" w:hAnsi="Times New Roman"/>
          <w:sz w:val="24"/>
          <w:szCs w:val="24"/>
        </w:rPr>
      </w:pPr>
    </w:p>
    <w:p w:rsidR="007D3561" w:rsidRDefault="007D3561" w:rsidP="007D3561">
      <w:pPr>
        <w:spacing w:after="0" w:line="240" w:lineRule="auto"/>
        <w:rPr>
          <w:rFonts w:ascii="Times New Roman" w:hAnsi="Times New Roman"/>
          <w:sz w:val="24"/>
          <w:szCs w:val="24"/>
        </w:rPr>
      </w:pPr>
      <w:r>
        <w:rPr>
          <w:rFonts w:ascii="Times New Roman" w:hAnsi="Times New Roman"/>
          <w:sz w:val="24"/>
          <w:szCs w:val="24"/>
        </w:rPr>
        <w:lastRenderedPageBreak/>
        <w:t>These studies utilize different data sets, different definitions of crowd out, and employ varying methodologies. The results, likewise, vary considerably – from significant 50%-60% crowd out to as little as no crowd out.</w:t>
      </w:r>
    </w:p>
    <w:p w:rsidR="007D3561" w:rsidRDefault="007D3561" w:rsidP="007D3561">
      <w:pPr>
        <w:spacing w:after="0" w:line="240" w:lineRule="auto"/>
        <w:rPr>
          <w:rFonts w:ascii="Times New Roman" w:hAnsi="Times New Roman"/>
          <w:sz w:val="24"/>
          <w:szCs w:val="24"/>
        </w:rPr>
      </w:pPr>
    </w:p>
    <w:p w:rsidR="007D3561" w:rsidRDefault="007D3561" w:rsidP="007D3561">
      <w:pPr>
        <w:spacing w:after="0" w:line="240" w:lineRule="auto"/>
        <w:rPr>
          <w:rFonts w:ascii="Times New Roman" w:hAnsi="Times New Roman"/>
          <w:sz w:val="24"/>
          <w:szCs w:val="24"/>
        </w:rPr>
      </w:pPr>
      <w:r>
        <w:rPr>
          <w:rFonts w:ascii="Times New Roman" w:hAnsi="Times New Roman"/>
          <w:sz w:val="24"/>
          <w:szCs w:val="24"/>
        </w:rPr>
        <w:t>As the table illustrates, all of the research to date has been performed on expansion of eligibility for children and their families. Adults without depend</w:t>
      </w:r>
      <w:r w:rsidR="00400E5C">
        <w:rPr>
          <w:rFonts w:ascii="Times New Roman" w:hAnsi="Times New Roman"/>
          <w:sz w:val="24"/>
          <w:szCs w:val="24"/>
        </w:rPr>
        <w:t>ent children do not have a separate published study</w:t>
      </w:r>
      <w:r>
        <w:rPr>
          <w:rFonts w:ascii="Times New Roman" w:hAnsi="Times New Roman"/>
          <w:sz w:val="24"/>
          <w:szCs w:val="24"/>
        </w:rPr>
        <w:t>. Evidence suggests that crowd out is a family-driven phenomenon. Cutler and Gruber’s analysis shows that crowd-out is significant, especially when family level measures are utilized.</w:t>
      </w:r>
      <w:r>
        <w:rPr>
          <w:rStyle w:val="FootnoteReference"/>
          <w:rFonts w:ascii="Times New Roman" w:hAnsi="Times New Roman"/>
          <w:sz w:val="24"/>
          <w:szCs w:val="24"/>
        </w:rPr>
        <w:footnoteReference w:id="3"/>
      </w:r>
    </w:p>
    <w:p w:rsidR="007D3561" w:rsidRDefault="007D3561" w:rsidP="007D3561">
      <w:pPr>
        <w:spacing w:after="0" w:line="240" w:lineRule="auto"/>
        <w:rPr>
          <w:rFonts w:ascii="Times New Roman" w:hAnsi="Times New Roman"/>
          <w:sz w:val="24"/>
          <w:szCs w:val="24"/>
        </w:rPr>
      </w:pPr>
    </w:p>
    <w:p w:rsidR="007D3561" w:rsidRDefault="007D3561" w:rsidP="007D3561">
      <w:pPr>
        <w:spacing w:after="0" w:line="240" w:lineRule="auto"/>
        <w:rPr>
          <w:rFonts w:ascii="Times New Roman" w:hAnsi="Times New Roman"/>
          <w:sz w:val="24"/>
          <w:szCs w:val="24"/>
        </w:rPr>
      </w:pPr>
      <w:r>
        <w:rPr>
          <w:rFonts w:ascii="Times New Roman" w:hAnsi="Times New Roman"/>
          <w:sz w:val="24"/>
          <w:szCs w:val="24"/>
        </w:rPr>
        <w:t xml:space="preserve">Based on this research, PCG utilized two crowd-out measures: one for enrollment of children and one for enrollment of adults with children. For adults without dependent children, PCG identified little in the way of extensive analysis. As such, PCG utilized the children’s crowd-out measure, as no better measure was available. </w:t>
      </w:r>
    </w:p>
    <w:p w:rsidR="007D3561" w:rsidRDefault="007D3561" w:rsidP="007D3561">
      <w:pPr>
        <w:spacing w:after="0" w:line="240" w:lineRule="auto"/>
        <w:rPr>
          <w:rFonts w:ascii="Times New Roman" w:hAnsi="Times New Roman"/>
          <w:sz w:val="24"/>
          <w:szCs w:val="24"/>
        </w:rPr>
      </w:pPr>
    </w:p>
    <w:p w:rsidR="00DE23FB" w:rsidRDefault="00DE23FB" w:rsidP="007D3561">
      <w:pPr>
        <w:spacing w:after="0" w:line="240" w:lineRule="auto"/>
        <w:rPr>
          <w:rFonts w:ascii="Times New Roman" w:hAnsi="Times New Roman"/>
          <w:sz w:val="24"/>
          <w:szCs w:val="24"/>
        </w:rPr>
      </w:pPr>
      <w:r>
        <w:rPr>
          <w:rFonts w:ascii="Times New Roman" w:hAnsi="Times New Roman"/>
          <w:sz w:val="24"/>
          <w:szCs w:val="24"/>
        </w:rPr>
        <w:t xml:space="preserve">No definitive studies could be identified that demonstrate a direct link between individuals dropping commercial coverage and enrolling in a Medicaid expansion.  In all studies reviewed, an assumption is made that the reason for dropping commercial insurance is to enroll in Medicaid, but no data is available to validate this assumption and comparable data to measure this type of affect is very hard to obtain.  Due to a lack of hard evidence, PCG is not </w:t>
      </w:r>
      <w:r w:rsidR="00A113E3">
        <w:rPr>
          <w:rFonts w:ascii="Times New Roman" w:hAnsi="Times New Roman"/>
          <w:sz w:val="24"/>
          <w:szCs w:val="24"/>
        </w:rPr>
        <w:t xml:space="preserve">able to make </w:t>
      </w:r>
      <w:r>
        <w:rPr>
          <w:rFonts w:ascii="Times New Roman" w:hAnsi="Times New Roman"/>
          <w:sz w:val="24"/>
          <w:szCs w:val="24"/>
        </w:rPr>
        <w:t xml:space="preserve">an assumption </w:t>
      </w:r>
      <w:r w:rsidR="001252DD">
        <w:rPr>
          <w:rFonts w:ascii="Times New Roman" w:hAnsi="Times New Roman"/>
          <w:sz w:val="24"/>
          <w:szCs w:val="24"/>
        </w:rPr>
        <w:t xml:space="preserve">that all enrollees who drop commercial insurance will in turn enroll in Medicaid.  To avoid further confusion and enable the end user of this report to apply their own assumptions, PCG provided these population figures as a standalone data point with which a user can apply their own assumption as this is a challenging data point to </w:t>
      </w:r>
      <w:r w:rsidR="00A113E3">
        <w:rPr>
          <w:rFonts w:ascii="Times New Roman" w:hAnsi="Times New Roman"/>
          <w:sz w:val="24"/>
          <w:szCs w:val="24"/>
        </w:rPr>
        <w:t xml:space="preserve">precisely </w:t>
      </w:r>
      <w:r w:rsidR="001252DD">
        <w:rPr>
          <w:rFonts w:ascii="Times New Roman" w:hAnsi="Times New Roman"/>
          <w:sz w:val="24"/>
          <w:szCs w:val="24"/>
        </w:rPr>
        <w:t xml:space="preserve">estimate.  </w:t>
      </w:r>
    </w:p>
    <w:p w:rsidR="003A3481" w:rsidRDefault="003A3481" w:rsidP="007D3561">
      <w:pPr>
        <w:spacing w:after="0" w:line="240" w:lineRule="auto"/>
        <w:rPr>
          <w:rFonts w:ascii="Times New Roman" w:hAnsi="Times New Roman"/>
          <w:sz w:val="24"/>
          <w:szCs w:val="24"/>
        </w:rPr>
      </w:pPr>
    </w:p>
    <w:p w:rsidR="003A3481" w:rsidRDefault="003A3481" w:rsidP="007D3561">
      <w:pPr>
        <w:spacing w:after="0" w:line="240" w:lineRule="auto"/>
        <w:rPr>
          <w:rFonts w:ascii="Times New Roman" w:hAnsi="Times New Roman"/>
          <w:sz w:val="24"/>
          <w:szCs w:val="24"/>
        </w:rPr>
      </w:pPr>
    </w:p>
    <w:p w:rsidR="007D3561" w:rsidRDefault="007D3561" w:rsidP="007D3561">
      <w:pPr>
        <w:spacing w:after="0" w:line="240" w:lineRule="auto"/>
        <w:rPr>
          <w:rFonts w:ascii="Times New Roman" w:hAnsi="Times New Roman"/>
          <w:sz w:val="24"/>
          <w:szCs w:val="24"/>
        </w:rPr>
      </w:pPr>
    </w:p>
    <w:p w:rsidR="007D3561" w:rsidRDefault="007D3561" w:rsidP="007D3561">
      <w:pPr>
        <w:spacing w:after="0" w:line="240" w:lineRule="auto"/>
        <w:rPr>
          <w:rFonts w:ascii="Times New Roman" w:hAnsi="Times New Roman"/>
          <w:b/>
          <w:i/>
          <w:sz w:val="24"/>
          <w:szCs w:val="24"/>
        </w:rPr>
      </w:pPr>
    </w:p>
    <w:p w:rsidR="00DF4653" w:rsidRDefault="00DF4653" w:rsidP="007D3561">
      <w:pPr>
        <w:spacing w:after="240"/>
        <w:rPr>
          <w:rFonts w:ascii="Times New Roman" w:hAnsi="Times New Roman"/>
          <w:b/>
          <w:i/>
          <w:sz w:val="24"/>
          <w:szCs w:val="24"/>
        </w:rPr>
        <w:sectPr w:rsidR="00DF4653" w:rsidSect="0086246C">
          <w:pgSz w:w="12240" w:h="15840"/>
          <w:pgMar w:top="576" w:right="1440" w:bottom="288" w:left="1440" w:header="720" w:footer="720" w:gutter="0"/>
          <w:cols w:space="720"/>
          <w:docGrid w:linePitch="360"/>
        </w:sectPr>
      </w:pPr>
    </w:p>
    <w:p w:rsidR="00DF4653" w:rsidRPr="00D95DB0" w:rsidRDefault="00DF4653" w:rsidP="007D3561">
      <w:pPr>
        <w:spacing w:after="240"/>
        <w:rPr>
          <w:rFonts w:ascii="Times New Roman" w:hAnsi="Times New Roman"/>
          <w:b/>
          <w:sz w:val="24"/>
          <w:szCs w:val="24"/>
        </w:rPr>
      </w:pPr>
      <w:r w:rsidRPr="00D95DB0">
        <w:rPr>
          <w:rFonts w:ascii="Times New Roman" w:hAnsi="Times New Roman"/>
          <w:b/>
          <w:sz w:val="24"/>
          <w:szCs w:val="24"/>
        </w:rPr>
        <w:lastRenderedPageBreak/>
        <w:t>Crowd-Out Population Estimates</w:t>
      </w:r>
      <w:r w:rsidR="00663518" w:rsidRPr="00D95DB0">
        <w:rPr>
          <w:rFonts w:ascii="Times New Roman" w:hAnsi="Times New Roman"/>
          <w:b/>
          <w:sz w:val="24"/>
          <w:szCs w:val="24"/>
        </w:rPr>
        <w:t xml:space="preserve"> (</w:t>
      </w:r>
      <w:r w:rsidR="00605222" w:rsidRPr="00D95DB0">
        <w:rPr>
          <w:rFonts w:ascii="Times New Roman" w:hAnsi="Times New Roman"/>
          <w:b/>
          <w:sz w:val="24"/>
          <w:szCs w:val="24"/>
        </w:rPr>
        <w:t>Mandatory Expansion</w:t>
      </w:r>
      <w:r w:rsidR="00D53B63" w:rsidRPr="00D95DB0">
        <w:rPr>
          <w:rFonts w:ascii="Times New Roman" w:hAnsi="Times New Roman"/>
          <w:b/>
          <w:sz w:val="24"/>
          <w:szCs w:val="24"/>
        </w:rPr>
        <w:t xml:space="preserve"> – </w:t>
      </w:r>
      <w:r w:rsidR="00F106FC">
        <w:rPr>
          <w:rFonts w:ascii="Times New Roman" w:hAnsi="Times New Roman"/>
          <w:b/>
          <w:sz w:val="24"/>
          <w:szCs w:val="24"/>
        </w:rPr>
        <w:t>low estimate intentionally admitted</w:t>
      </w:r>
      <w:r w:rsidR="00663518" w:rsidRPr="00D95DB0">
        <w:rPr>
          <w:rFonts w:ascii="Times New Roman" w:hAnsi="Times New Roman"/>
          <w:b/>
          <w:sz w:val="24"/>
          <w:szCs w:val="24"/>
        </w:rPr>
        <w:t>)</w:t>
      </w:r>
    </w:p>
    <w:p w:rsidR="00605222" w:rsidRDefault="00A113E3" w:rsidP="007D3561">
      <w:pPr>
        <w:spacing w:after="240"/>
        <w:rPr>
          <w:rFonts w:ascii="Times New Roman" w:hAnsi="Times New Roman"/>
          <w:sz w:val="24"/>
          <w:szCs w:val="24"/>
        </w:rPr>
      </w:pPr>
      <w:r w:rsidRPr="00A113E3">
        <w:rPr>
          <w:noProof/>
          <w:szCs w:val="24"/>
          <w:lang w:eastAsia="en-US"/>
        </w:rPr>
        <w:drawing>
          <wp:inline distT="0" distB="0" distL="0" distR="0">
            <wp:extent cx="9509760" cy="2917952"/>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9509760" cy="2917952"/>
                    </a:xfrm>
                    <a:prstGeom prst="rect">
                      <a:avLst/>
                    </a:prstGeom>
                    <a:noFill/>
                    <a:ln w="9525">
                      <a:noFill/>
                      <a:miter lim="800000"/>
                      <a:headEnd/>
                      <a:tailEnd/>
                    </a:ln>
                  </pic:spPr>
                </pic:pic>
              </a:graphicData>
            </a:graphic>
          </wp:inline>
        </w:drawing>
      </w:r>
    </w:p>
    <w:p w:rsidR="00FD7392" w:rsidRDefault="00FD7392" w:rsidP="007D3561">
      <w:pPr>
        <w:spacing w:after="240"/>
        <w:rPr>
          <w:rFonts w:ascii="Times New Roman" w:hAnsi="Times New Roman"/>
          <w:sz w:val="24"/>
          <w:szCs w:val="24"/>
        </w:rPr>
      </w:pPr>
    </w:p>
    <w:p w:rsidR="00FD7392" w:rsidRDefault="00FD7392" w:rsidP="007D3561">
      <w:pPr>
        <w:spacing w:after="240"/>
        <w:rPr>
          <w:rFonts w:ascii="Times New Roman" w:hAnsi="Times New Roman"/>
          <w:sz w:val="24"/>
          <w:szCs w:val="24"/>
        </w:rPr>
      </w:pPr>
    </w:p>
    <w:p w:rsidR="00663518" w:rsidRDefault="00663518">
      <w:pPr>
        <w:spacing w:after="0" w:line="240" w:lineRule="auto"/>
        <w:rPr>
          <w:rFonts w:ascii="Times New Roman" w:hAnsi="Times New Roman"/>
          <w:b/>
          <w:i/>
          <w:sz w:val="24"/>
          <w:szCs w:val="24"/>
        </w:rPr>
      </w:pPr>
      <w:r>
        <w:rPr>
          <w:rFonts w:ascii="Times New Roman" w:hAnsi="Times New Roman"/>
          <w:b/>
          <w:i/>
          <w:sz w:val="24"/>
          <w:szCs w:val="24"/>
        </w:rPr>
        <w:br w:type="page"/>
      </w:r>
    </w:p>
    <w:p w:rsidR="00FD7392" w:rsidRPr="00663518" w:rsidRDefault="00FD7392" w:rsidP="00FD7392">
      <w:pPr>
        <w:spacing w:after="240"/>
        <w:rPr>
          <w:rFonts w:ascii="Times New Roman" w:hAnsi="Times New Roman"/>
          <w:i/>
          <w:sz w:val="24"/>
          <w:szCs w:val="24"/>
        </w:rPr>
      </w:pPr>
      <w:r w:rsidRPr="00663518">
        <w:rPr>
          <w:rFonts w:ascii="Times New Roman" w:hAnsi="Times New Roman"/>
          <w:i/>
          <w:sz w:val="24"/>
          <w:szCs w:val="24"/>
        </w:rPr>
        <w:lastRenderedPageBreak/>
        <w:t>Crowd-Out Population Estimates</w:t>
      </w:r>
      <w:r w:rsidR="00663518" w:rsidRPr="00663518">
        <w:rPr>
          <w:rFonts w:ascii="Times New Roman" w:hAnsi="Times New Roman"/>
          <w:i/>
          <w:sz w:val="24"/>
          <w:szCs w:val="24"/>
        </w:rPr>
        <w:t xml:space="preserve"> (Optional Expansion)</w:t>
      </w:r>
    </w:p>
    <w:p w:rsidR="00FD7392" w:rsidRPr="00605222" w:rsidRDefault="00896AC2" w:rsidP="00896AC2">
      <w:pPr>
        <w:spacing w:after="240"/>
        <w:jc w:val="center"/>
        <w:rPr>
          <w:rFonts w:ascii="Times New Roman" w:hAnsi="Times New Roman"/>
          <w:sz w:val="24"/>
          <w:szCs w:val="24"/>
        </w:rPr>
      </w:pPr>
      <w:r w:rsidRPr="00896AC2">
        <w:rPr>
          <w:noProof/>
          <w:szCs w:val="24"/>
          <w:lang w:eastAsia="en-US"/>
        </w:rPr>
        <w:drawing>
          <wp:inline distT="0" distB="0" distL="0" distR="0">
            <wp:extent cx="8835390" cy="3423920"/>
            <wp:effectExtent l="19050" t="0" r="3810" b="0"/>
            <wp:docPr id="1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8835390" cy="3423920"/>
                    </a:xfrm>
                    <a:prstGeom prst="rect">
                      <a:avLst/>
                    </a:prstGeom>
                    <a:noFill/>
                    <a:ln w="9525">
                      <a:noFill/>
                      <a:miter lim="800000"/>
                      <a:headEnd/>
                      <a:tailEnd/>
                    </a:ln>
                  </pic:spPr>
                </pic:pic>
              </a:graphicData>
            </a:graphic>
          </wp:inline>
        </w:drawing>
      </w:r>
    </w:p>
    <w:p w:rsidR="007D3561" w:rsidRDefault="007D3561" w:rsidP="007D3561">
      <w:pPr>
        <w:spacing w:after="0" w:line="240" w:lineRule="auto"/>
        <w:rPr>
          <w:rFonts w:ascii="Times New Roman" w:hAnsi="Times New Roman"/>
          <w:sz w:val="24"/>
          <w:szCs w:val="24"/>
        </w:rPr>
      </w:pPr>
    </w:p>
    <w:p w:rsidR="005F38C2" w:rsidRDefault="005F38C2" w:rsidP="004516AB">
      <w:pPr>
        <w:spacing w:after="0" w:line="240" w:lineRule="auto"/>
        <w:rPr>
          <w:rFonts w:ascii="Times New Roman" w:hAnsi="Times New Roman"/>
          <w:i/>
          <w:sz w:val="24"/>
          <w:szCs w:val="24"/>
        </w:rPr>
        <w:sectPr w:rsidR="005F38C2" w:rsidSect="00DF4653">
          <w:pgSz w:w="15840" w:h="12240" w:orient="landscape"/>
          <w:pgMar w:top="1440" w:right="576" w:bottom="1440" w:left="288" w:header="720" w:footer="720" w:gutter="0"/>
          <w:cols w:space="720"/>
          <w:docGrid w:linePitch="360"/>
        </w:sectPr>
      </w:pPr>
    </w:p>
    <w:p w:rsidR="00C80065" w:rsidRPr="00181A60" w:rsidRDefault="00C80065" w:rsidP="00C80065">
      <w:pPr>
        <w:spacing w:after="240"/>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Opportunity Costs</w:t>
      </w:r>
    </w:p>
    <w:p w:rsidR="00737C28" w:rsidRDefault="00737C28" w:rsidP="00737C28">
      <w:pPr>
        <w:rPr>
          <w:rFonts w:ascii="Times New Roman" w:hAnsi="Times New Roman"/>
          <w:color w:val="000000"/>
          <w:sz w:val="24"/>
          <w:szCs w:val="24"/>
          <w:lang w:eastAsia="en-US"/>
        </w:rPr>
      </w:pPr>
      <w:r>
        <w:rPr>
          <w:rFonts w:ascii="Times New Roman" w:hAnsi="Times New Roman"/>
          <w:color w:val="000000"/>
          <w:sz w:val="24"/>
          <w:szCs w:val="24"/>
          <w:lang w:eastAsia="en-US"/>
        </w:rPr>
        <w:t>Expanding Medicaid will provide health insurance to the currently uninsured.  This would have a positive effect</w:t>
      </w:r>
      <w:r w:rsidR="00A113E3">
        <w:rPr>
          <w:rFonts w:ascii="Times New Roman" w:hAnsi="Times New Roman"/>
          <w:color w:val="000000"/>
          <w:sz w:val="24"/>
          <w:szCs w:val="24"/>
          <w:lang w:eastAsia="en-US"/>
        </w:rPr>
        <w:t xml:space="preserve"> on those citizens of the state</w:t>
      </w:r>
      <w:r>
        <w:rPr>
          <w:rFonts w:ascii="Times New Roman" w:hAnsi="Times New Roman"/>
          <w:color w:val="000000"/>
          <w:sz w:val="24"/>
          <w:szCs w:val="24"/>
          <w:lang w:eastAsia="en-US"/>
        </w:rPr>
        <w:t xml:space="preserve"> and has the potential to improve public health in general.  This section of the report quantifies the opportunity costs of not expanding Medicaid.</w:t>
      </w:r>
    </w:p>
    <w:p w:rsidR="00737C28" w:rsidRDefault="00737C28" w:rsidP="00737C28">
      <w:pPr>
        <w:spacing w:after="240"/>
        <w:rPr>
          <w:rFonts w:ascii="Times New Roman" w:hAnsi="Times New Roman"/>
          <w:b/>
          <w:i/>
          <w:sz w:val="24"/>
          <w:szCs w:val="24"/>
        </w:rPr>
      </w:pPr>
      <w:r>
        <w:rPr>
          <w:rFonts w:ascii="Times New Roman" w:hAnsi="Times New Roman"/>
          <w:b/>
          <w:i/>
          <w:sz w:val="24"/>
          <w:szCs w:val="24"/>
        </w:rPr>
        <w:t>Mortality and Access to Care among Adults after State Medicaid Expansions</w:t>
      </w:r>
      <w:r>
        <w:rPr>
          <w:rStyle w:val="FootnoteReference"/>
          <w:rFonts w:ascii="Times New Roman" w:hAnsi="Times New Roman"/>
          <w:b/>
          <w:i/>
          <w:sz w:val="24"/>
          <w:szCs w:val="24"/>
        </w:rPr>
        <w:footnoteReference w:id="4"/>
      </w:r>
    </w:p>
    <w:p w:rsidR="00737C28" w:rsidRPr="00737C28" w:rsidRDefault="00737C28" w:rsidP="00737C28">
      <w:pPr>
        <w:rPr>
          <w:rFonts w:ascii="Times New Roman" w:hAnsi="Times New Roman"/>
          <w:color w:val="000000"/>
          <w:sz w:val="24"/>
          <w:szCs w:val="24"/>
          <w:lang w:eastAsia="en-US"/>
        </w:rPr>
      </w:pPr>
      <w:r w:rsidRPr="00737C28">
        <w:rPr>
          <w:rFonts w:ascii="Times New Roman" w:hAnsi="Times New Roman"/>
          <w:color w:val="000000"/>
          <w:sz w:val="24"/>
          <w:szCs w:val="24"/>
          <w:lang w:eastAsia="en-US"/>
        </w:rPr>
        <w:t xml:space="preserve">Studies </w:t>
      </w:r>
      <w:r w:rsidR="00DF0F58">
        <w:rPr>
          <w:rFonts w:ascii="Times New Roman" w:hAnsi="Times New Roman"/>
          <w:color w:val="000000"/>
          <w:sz w:val="24"/>
          <w:szCs w:val="24"/>
          <w:lang w:eastAsia="en-US"/>
        </w:rPr>
        <w:t>on</w:t>
      </w:r>
      <w:r w:rsidR="00DF0F58" w:rsidRPr="00737C28">
        <w:rPr>
          <w:rFonts w:ascii="Times New Roman" w:hAnsi="Times New Roman"/>
          <w:color w:val="000000"/>
          <w:sz w:val="24"/>
          <w:szCs w:val="24"/>
          <w:lang w:eastAsia="en-US"/>
        </w:rPr>
        <w:t xml:space="preserve"> </w:t>
      </w:r>
      <w:r w:rsidRPr="00737C28">
        <w:rPr>
          <w:rFonts w:ascii="Times New Roman" w:hAnsi="Times New Roman"/>
          <w:color w:val="000000"/>
          <w:sz w:val="24"/>
          <w:szCs w:val="24"/>
          <w:lang w:eastAsia="en-US"/>
        </w:rPr>
        <w:t xml:space="preserve">healthcare coverage expansions are typically confounded by differences in populations.  Medicaid populations tend to be sicker than normal populations and due to study limitations, like populations are not typically compared.  Traditional expansion studies in the past have focused on low income children and pregnant women but the ACA expansion in 2014 will cover childless adults, a population not typically covered.  In </w:t>
      </w:r>
      <w:r w:rsidR="007B5BDA">
        <w:rPr>
          <w:rFonts w:ascii="Times New Roman" w:hAnsi="Times New Roman"/>
          <w:color w:val="000000"/>
          <w:sz w:val="24"/>
          <w:szCs w:val="24"/>
          <w:lang w:eastAsia="en-US"/>
        </w:rPr>
        <w:t>a 2012</w:t>
      </w:r>
      <w:r w:rsidRPr="00737C28">
        <w:rPr>
          <w:rFonts w:ascii="Times New Roman" w:hAnsi="Times New Roman"/>
          <w:color w:val="000000"/>
          <w:sz w:val="24"/>
          <w:szCs w:val="24"/>
          <w:lang w:eastAsia="en-US"/>
        </w:rPr>
        <w:t xml:space="preserve"> study, three states that had substantially expanded adult Medicaid eligibility since 2000 (New York, Maine, and Arizona) were compared with neighboring states that did not undergo any expansions.  The study population consisted of 68,012 adults without dependent children aged 20 – 64 who were observed 5 years before and after the expansions, from 1997 through 2007.  The primary outcome of the study w</w:t>
      </w:r>
      <w:r w:rsidR="007B5BDA">
        <w:rPr>
          <w:rFonts w:ascii="Times New Roman" w:hAnsi="Times New Roman"/>
          <w:color w:val="000000"/>
          <w:sz w:val="24"/>
          <w:szCs w:val="24"/>
          <w:lang w:eastAsia="en-US"/>
        </w:rPr>
        <w:t>as a</w:t>
      </w:r>
      <w:r w:rsidRPr="00737C28">
        <w:rPr>
          <w:rFonts w:ascii="Times New Roman" w:hAnsi="Times New Roman"/>
          <w:color w:val="000000"/>
          <w:sz w:val="24"/>
          <w:szCs w:val="24"/>
          <w:lang w:eastAsia="en-US"/>
        </w:rPr>
        <w:t xml:space="preserve"> </w:t>
      </w:r>
      <w:r w:rsidR="007B5BDA">
        <w:rPr>
          <w:rFonts w:ascii="Times New Roman" w:hAnsi="Times New Roman"/>
          <w:color w:val="000000"/>
          <w:sz w:val="24"/>
          <w:szCs w:val="24"/>
          <w:lang w:eastAsia="en-US"/>
        </w:rPr>
        <w:t xml:space="preserve">reduction in </w:t>
      </w:r>
      <w:r w:rsidRPr="00737C28">
        <w:rPr>
          <w:rFonts w:ascii="Times New Roman" w:hAnsi="Times New Roman"/>
          <w:color w:val="000000"/>
          <w:sz w:val="24"/>
          <w:szCs w:val="24"/>
          <w:lang w:eastAsia="en-US"/>
        </w:rPr>
        <w:t>all-cause county-level mortality</w:t>
      </w:r>
      <w:r w:rsidR="007B5BDA">
        <w:rPr>
          <w:rFonts w:ascii="Times New Roman" w:hAnsi="Times New Roman"/>
          <w:color w:val="000000"/>
          <w:sz w:val="24"/>
          <w:szCs w:val="24"/>
          <w:lang w:eastAsia="en-US"/>
        </w:rPr>
        <w:t>. S</w:t>
      </w:r>
      <w:r w:rsidRPr="00737C28">
        <w:rPr>
          <w:rFonts w:ascii="Times New Roman" w:hAnsi="Times New Roman"/>
          <w:color w:val="000000"/>
          <w:sz w:val="24"/>
          <w:szCs w:val="24"/>
          <w:lang w:eastAsia="en-US"/>
        </w:rPr>
        <w:t xml:space="preserve">econdary outcomes were </w:t>
      </w:r>
      <w:r w:rsidR="007B5BDA">
        <w:rPr>
          <w:rFonts w:ascii="Times New Roman" w:hAnsi="Times New Roman"/>
          <w:color w:val="000000"/>
          <w:sz w:val="24"/>
          <w:szCs w:val="24"/>
          <w:lang w:eastAsia="en-US"/>
        </w:rPr>
        <w:t xml:space="preserve">increased </w:t>
      </w:r>
      <w:r w:rsidRPr="00737C28">
        <w:rPr>
          <w:rFonts w:ascii="Times New Roman" w:hAnsi="Times New Roman"/>
          <w:color w:val="000000"/>
          <w:sz w:val="24"/>
          <w:szCs w:val="24"/>
          <w:lang w:eastAsia="en-US"/>
        </w:rPr>
        <w:t xml:space="preserve">rates of insurance coverage, </w:t>
      </w:r>
      <w:r w:rsidR="007B5BDA">
        <w:rPr>
          <w:rFonts w:ascii="Times New Roman" w:hAnsi="Times New Roman"/>
          <w:color w:val="000000"/>
          <w:sz w:val="24"/>
          <w:szCs w:val="24"/>
          <w:lang w:eastAsia="en-US"/>
        </w:rPr>
        <w:t xml:space="preserve">decreased </w:t>
      </w:r>
      <w:r w:rsidRPr="00737C28">
        <w:rPr>
          <w:rFonts w:ascii="Times New Roman" w:hAnsi="Times New Roman"/>
          <w:color w:val="000000"/>
          <w:sz w:val="24"/>
          <w:szCs w:val="24"/>
          <w:lang w:eastAsia="en-US"/>
        </w:rPr>
        <w:t xml:space="preserve">delayed care, and </w:t>
      </w:r>
      <w:r w:rsidR="007B5BDA">
        <w:rPr>
          <w:rFonts w:ascii="Times New Roman" w:hAnsi="Times New Roman"/>
          <w:color w:val="000000"/>
          <w:sz w:val="24"/>
          <w:szCs w:val="24"/>
          <w:lang w:eastAsia="en-US"/>
        </w:rPr>
        <w:t xml:space="preserve">improved </w:t>
      </w:r>
      <w:r w:rsidRPr="00737C28">
        <w:rPr>
          <w:rFonts w:ascii="Times New Roman" w:hAnsi="Times New Roman"/>
          <w:color w:val="000000"/>
          <w:sz w:val="24"/>
          <w:szCs w:val="24"/>
          <w:lang w:eastAsia="en-US"/>
        </w:rPr>
        <w:t xml:space="preserve">self reported health among 169,124 persons in the Current Population Survey and 192,148 persons in the Behavioral Risk Factor Surveillance System.   </w:t>
      </w:r>
    </w:p>
    <w:p w:rsidR="00737C28" w:rsidRPr="00737C28" w:rsidRDefault="00737C28" w:rsidP="00737C28">
      <w:pPr>
        <w:rPr>
          <w:rFonts w:ascii="Times New Roman" w:hAnsi="Times New Roman"/>
          <w:color w:val="000000"/>
          <w:sz w:val="24"/>
          <w:szCs w:val="24"/>
          <w:lang w:eastAsia="en-US"/>
        </w:rPr>
      </w:pPr>
      <w:r w:rsidRPr="00737C28">
        <w:rPr>
          <w:rFonts w:ascii="Times New Roman" w:hAnsi="Times New Roman"/>
          <w:color w:val="000000"/>
          <w:sz w:val="24"/>
          <w:szCs w:val="24"/>
          <w:lang w:eastAsia="en-US"/>
        </w:rPr>
        <w:t>A significant reduction in all-cause mortality was observed by 19.6 deaths per 100,000 adults for a relative 6.1% reduction rate.  The reduction in deaths was greatest among older adults, non</w:t>
      </w:r>
      <w:r w:rsidR="007B5BDA">
        <w:rPr>
          <w:rFonts w:ascii="Times New Roman" w:hAnsi="Times New Roman"/>
          <w:color w:val="000000"/>
          <w:sz w:val="24"/>
          <w:szCs w:val="24"/>
          <w:lang w:eastAsia="en-US"/>
        </w:rPr>
        <w:t>-</w:t>
      </w:r>
      <w:r w:rsidRPr="00737C28">
        <w:rPr>
          <w:rFonts w:ascii="Times New Roman" w:hAnsi="Times New Roman"/>
          <w:color w:val="000000"/>
          <w:sz w:val="24"/>
          <w:szCs w:val="24"/>
          <w:lang w:eastAsia="en-US"/>
        </w:rPr>
        <w:t>whites, and residents of poorer counties. Smaller but significant reductions were observed in whites and no effects were observed in persons under the age of 35 years.</w:t>
      </w:r>
    </w:p>
    <w:p w:rsidR="002C5F99" w:rsidRDefault="002C5F99" w:rsidP="00737C28">
      <w:pPr>
        <w:rPr>
          <w:rFonts w:ascii="Times New Roman" w:hAnsi="Times New Roman"/>
          <w:color w:val="000000"/>
          <w:sz w:val="24"/>
          <w:szCs w:val="24"/>
          <w:lang w:eastAsia="en-US"/>
        </w:rPr>
      </w:pPr>
    </w:p>
    <w:p w:rsidR="002C5F99" w:rsidRDefault="002C5F99" w:rsidP="00737C28">
      <w:pPr>
        <w:rPr>
          <w:rFonts w:ascii="Times New Roman" w:hAnsi="Times New Roman"/>
          <w:color w:val="000000"/>
          <w:sz w:val="24"/>
          <w:szCs w:val="24"/>
          <w:lang w:eastAsia="en-US"/>
        </w:rPr>
      </w:pPr>
    </w:p>
    <w:p w:rsidR="002C5F99" w:rsidRDefault="002C5F99" w:rsidP="00737C28">
      <w:pPr>
        <w:rPr>
          <w:rFonts w:ascii="Times New Roman" w:hAnsi="Times New Roman"/>
          <w:color w:val="000000"/>
          <w:sz w:val="24"/>
          <w:szCs w:val="24"/>
          <w:lang w:eastAsia="en-US"/>
        </w:rPr>
      </w:pPr>
    </w:p>
    <w:p w:rsidR="002C5F99" w:rsidRDefault="002C5F99" w:rsidP="00737C28">
      <w:pPr>
        <w:rPr>
          <w:rFonts w:ascii="Times New Roman" w:hAnsi="Times New Roman"/>
          <w:color w:val="000000"/>
          <w:sz w:val="24"/>
          <w:szCs w:val="24"/>
          <w:lang w:eastAsia="en-US"/>
        </w:rPr>
      </w:pPr>
    </w:p>
    <w:p w:rsidR="002C5F99" w:rsidRDefault="002C5F99" w:rsidP="00737C28">
      <w:pPr>
        <w:rPr>
          <w:rFonts w:ascii="Times New Roman" w:hAnsi="Times New Roman"/>
          <w:color w:val="000000"/>
          <w:sz w:val="24"/>
          <w:szCs w:val="24"/>
          <w:lang w:eastAsia="en-US"/>
        </w:rPr>
      </w:pPr>
    </w:p>
    <w:p w:rsidR="002C5F99" w:rsidRDefault="002C5F99" w:rsidP="00737C28">
      <w:pPr>
        <w:rPr>
          <w:rFonts w:ascii="Times New Roman" w:hAnsi="Times New Roman"/>
          <w:color w:val="000000"/>
          <w:sz w:val="24"/>
          <w:szCs w:val="24"/>
          <w:lang w:eastAsia="en-US"/>
        </w:rPr>
      </w:pPr>
    </w:p>
    <w:p w:rsidR="00737C28" w:rsidRDefault="00737C28" w:rsidP="00737C28">
      <w:pPr>
        <w:rPr>
          <w:rFonts w:ascii="Times New Roman" w:hAnsi="Times New Roman"/>
          <w:color w:val="000000"/>
          <w:sz w:val="24"/>
          <w:szCs w:val="24"/>
          <w:lang w:eastAsia="en-US"/>
        </w:rPr>
      </w:pPr>
      <w:r w:rsidRPr="00737C28">
        <w:rPr>
          <w:rFonts w:ascii="Times New Roman" w:hAnsi="Times New Roman"/>
          <w:color w:val="000000"/>
          <w:sz w:val="24"/>
          <w:szCs w:val="24"/>
          <w:lang w:eastAsia="en-US"/>
        </w:rPr>
        <w:lastRenderedPageBreak/>
        <w:t xml:space="preserve">The chart below demonstrates the primary and secondary outcomes of this study.  </w:t>
      </w:r>
    </w:p>
    <w:p w:rsidR="00A61197" w:rsidRDefault="00377A67" w:rsidP="005A49A0">
      <w:pPr>
        <w:jc w:val="center"/>
        <w:rPr>
          <w:rFonts w:ascii="Times New Roman" w:hAnsi="Times New Roman"/>
          <w:color w:val="000000"/>
          <w:sz w:val="24"/>
          <w:szCs w:val="24"/>
          <w:lang w:eastAsia="en-US"/>
        </w:rPr>
      </w:pPr>
      <w:r w:rsidRPr="00377A67">
        <w:rPr>
          <w:noProof/>
          <w:szCs w:val="24"/>
          <w:lang w:eastAsia="en-US"/>
        </w:rPr>
        <w:drawing>
          <wp:inline distT="0" distB="0" distL="0" distR="0">
            <wp:extent cx="4429760" cy="2576830"/>
            <wp:effectExtent l="19050" t="0" r="889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4429760" cy="2576830"/>
                    </a:xfrm>
                    <a:prstGeom prst="rect">
                      <a:avLst/>
                    </a:prstGeom>
                    <a:noFill/>
                    <a:ln w="9525">
                      <a:noFill/>
                      <a:miter lim="800000"/>
                      <a:headEnd/>
                      <a:tailEnd/>
                    </a:ln>
                  </pic:spPr>
                </pic:pic>
              </a:graphicData>
            </a:graphic>
          </wp:inline>
        </w:drawing>
      </w:r>
    </w:p>
    <w:p w:rsidR="00737C28" w:rsidRPr="00737C28" w:rsidRDefault="00737C28" w:rsidP="00737C28">
      <w:pPr>
        <w:spacing w:after="240"/>
        <w:rPr>
          <w:rFonts w:ascii="Times New Roman" w:hAnsi="Times New Roman"/>
          <w:color w:val="000000"/>
          <w:sz w:val="24"/>
          <w:szCs w:val="24"/>
          <w:lang w:eastAsia="en-US"/>
        </w:rPr>
      </w:pPr>
      <w:r w:rsidRPr="00737C28">
        <w:rPr>
          <w:rFonts w:ascii="Times New Roman" w:hAnsi="Times New Roman"/>
          <w:color w:val="000000"/>
          <w:sz w:val="24"/>
          <w:szCs w:val="24"/>
          <w:lang w:eastAsia="en-US"/>
        </w:rPr>
        <w:t>This study is only relevant to adults (ages 20 – 64) without dependent children</w:t>
      </w:r>
      <w:r w:rsidR="00820E79">
        <w:rPr>
          <w:rFonts w:ascii="Times New Roman" w:hAnsi="Times New Roman"/>
          <w:color w:val="000000"/>
          <w:sz w:val="24"/>
          <w:szCs w:val="24"/>
          <w:lang w:eastAsia="en-US"/>
        </w:rPr>
        <w:t xml:space="preserve">. </w:t>
      </w:r>
      <w:r w:rsidRPr="00737C28">
        <w:rPr>
          <w:rFonts w:ascii="Times New Roman" w:hAnsi="Times New Roman"/>
          <w:color w:val="000000"/>
          <w:sz w:val="24"/>
          <w:szCs w:val="24"/>
          <w:lang w:eastAsia="en-US"/>
        </w:rPr>
        <w:t xml:space="preserve"> </w:t>
      </w:r>
      <w:r w:rsidR="00820E79">
        <w:rPr>
          <w:rFonts w:ascii="Times New Roman" w:hAnsi="Times New Roman"/>
          <w:color w:val="000000"/>
          <w:sz w:val="24"/>
          <w:szCs w:val="24"/>
          <w:lang w:eastAsia="en-US"/>
        </w:rPr>
        <w:t>A</w:t>
      </w:r>
      <w:r w:rsidRPr="00737C28">
        <w:rPr>
          <w:rFonts w:ascii="Times New Roman" w:hAnsi="Times New Roman"/>
          <w:color w:val="000000"/>
          <w:sz w:val="24"/>
          <w:szCs w:val="24"/>
          <w:lang w:eastAsia="en-US"/>
        </w:rPr>
        <w:t xml:space="preserve"> significant reduction in 19.6 deaths per 100,000 adults can be indirectly applied to our study</w:t>
      </w:r>
      <w:r w:rsidRPr="00737C28">
        <w:rPr>
          <w:rFonts w:ascii="Times New Roman" w:hAnsi="Times New Roman"/>
          <w:sz w:val="24"/>
          <w:szCs w:val="24"/>
        </w:rPr>
        <w:t xml:space="preserve"> </w:t>
      </w:r>
      <w:r w:rsidRPr="00737C28">
        <w:rPr>
          <w:rFonts w:ascii="Times New Roman" w:hAnsi="Times New Roman"/>
          <w:color w:val="000000"/>
          <w:sz w:val="24"/>
          <w:szCs w:val="24"/>
          <w:lang w:eastAsia="en-US"/>
        </w:rPr>
        <w:t xml:space="preserve">population of childless adults from 0 - 138% FPL.  The study populations below for each state and their level of expansion can be seen below. </w:t>
      </w:r>
    </w:p>
    <w:tbl>
      <w:tblPr>
        <w:tblW w:w="6520" w:type="dxa"/>
        <w:jc w:val="center"/>
        <w:tblInd w:w="-30" w:type="dxa"/>
        <w:tblCellMar>
          <w:left w:w="0" w:type="dxa"/>
          <w:right w:w="0" w:type="dxa"/>
        </w:tblCellMar>
        <w:tblLook w:val="04A0"/>
      </w:tblPr>
      <w:tblGrid>
        <w:gridCol w:w="2000"/>
        <w:gridCol w:w="4520"/>
      </w:tblGrid>
      <w:tr w:rsidR="007945B1" w:rsidTr="007945B1">
        <w:trPr>
          <w:trHeight w:val="615"/>
          <w:jc w:val="center"/>
        </w:trPr>
        <w:tc>
          <w:tcPr>
            <w:tcW w:w="2000" w:type="dxa"/>
            <w:tcBorders>
              <w:top w:val="single" w:sz="12" w:space="0" w:color="auto"/>
              <w:left w:val="single" w:sz="12" w:space="0" w:color="auto"/>
              <w:bottom w:val="single" w:sz="8" w:space="0" w:color="auto"/>
              <w:right w:val="single" w:sz="12" w:space="0" w:color="auto"/>
            </w:tcBorders>
            <w:shd w:val="clear" w:color="auto" w:fill="254061"/>
            <w:noWrap/>
            <w:tcMar>
              <w:top w:w="0" w:type="dxa"/>
              <w:left w:w="108" w:type="dxa"/>
              <w:bottom w:w="0" w:type="dxa"/>
              <w:right w:w="108" w:type="dxa"/>
            </w:tcMar>
            <w:vAlign w:val="center"/>
            <w:hideMark/>
          </w:tcPr>
          <w:p w:rsidR="007945B1" w:rsidRDefault="007945B1">
            <w:pPr>
              <w:jc w:val="center"/>
              <w:rPr>
                <w:rFonts w:ascii="Times New Roman" w:eastAsiaTheme="minorHAnsi" w:hAnsi="Times New Roman"/>
                <w:b/>
                <w:bCs/>
                <w:color w:val="FFFFFF"/>
                <w:sz w:val="24"/>
                <w:szCs w:val="24"/>
              </w:rPr>
            </w:pPr>
            <w:r>
              <w:rPr>
                <w:rFonts w:ascii="Times New Roman" w:hAnsi="Times New Roman"/>
                <w:b/>
                <w:bCs/>
                <w:color w:val="FFFFFF"/>
                <w:sz w:val="24"/>
                <w:szCs w:val="24"/>
              </w:rPr>
              <w:t>State</w:t>
            </w:r>
          </w:p>
        </w:tc>
        <w:tc>
          <w:tcPr>
            <w:tcW w:w="4520" w:type="dxa"/>
            <w:tcBorders>
              <w:top w:val="single" w:sz="12" w:space="0" w:color="auto"/>
              <w:left w:val="nil"/>
              <w:bottom w:val="single" w:sz="8" w:space="0" w:color="auto"/>
              <w:right w:val="single" w:sz="12" w:space="0" w:color="auto"/>
            </w:tcBorders>
            <w:shd w:val="clear" w:color="auto" w:fill="254061"/>
            <w:noWrap/>
            <w:tcMar>
              <w:top w:w="0" w:type="dxa"/>
              <w:left w:w="108" w:type="dxa"/>
              <w:bottom w:w="0" w:type="dxa"/>
              <w:right w:w="108" w:type="dxa"/>
            </w:tcMar>
            <w:vAlign w:val="center"/>
            <w:hideMark/>
          </w:tcPr>
          <w:p w:rsidR="007945B1" w:rsidRDefault="007945B1">
            <w:pPr>
              <w:jc w:val="center"/>
              <w:rPr>
                <w:rFonts w:ascii="Times New Roman" w:eastAsiaTheme="minorHAnsi" w:hAnsi="Times New Roman"/>
                <w:b/>
                <w:bCs/>
                <w:color w:val="FFFFFF"/>
                <w:sz w:val="24"/>
                <w:szCs w:val="24"/>
              </w:rPr>
            </w:pPr>
            <w:r>
              <w:rPr>
                <w:rFonts w:ascii="Times New Roman" w:hAnsi="Times New Roman"/>
                <w:b/>
                <w:bCs/>
                <w:color w:val="FFFFFF"/>
                <w:sz w:val="24"/>
                <w:szCs w:val="24"/>
              </w:rPr>
              <w:t>Expansion</w:t>
            </w:r>
          </w:p>
        </w:tc>
      </w:tr>
      <w:tr w:rsidR="007945B1" w:rsidTr="007945B1">
        <w:trPr>
          <w:trHeight w:val="675"/>
          <w:jc w:val="center"/>
        </w:trPr>
        <w:tc>
          <w:tcPr>
            <w:tcW w:w="2000" w:type="dxa"/>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7945B1" w:rsidRDefault="007945B1">
            <w:pPr>
              <w:jc w:val="center"/>
              <w:rPr>
                <w:rFonts w:ascii="Times New Roman" w:eastAsiaTheme="minorHAnsi" w:hAnsi="Times New Roman"/>
                <w:color w:val="000000"/>
                <w:sz w:val="24"/>
                <w:szCs w:val="24"/>
              </w:rPr>
            </w:pPr>
            <w:r>
              <w:rPr>
                <w:rFonts w:ascii="Times New Roman" w:hAnsi="Times New Roman"/>
                <w:color w:val="000000"/>
                <w:sz w:val="24"/>
                <w:szCs w:val="24"/>
              </w:rPr>
              <w:t>Arizona</w:t>
            </w:r>
          </w:p>
        </w:tc>
        <w:tc>
          <w:tcPr>
            <w:tcW w:w="4520" w:type="dxa"/>
            <w:tcBorders>
              <w:top w:val="nil"/>
              <w:left w:val="nil"/>
              <w:bottom w:val="single" w:sz="8" w:space="0" w:color="auto"/>
              <w:right w:val="single" w:sz="12" w:space="0" w:color="auto"/>
            </w:tcBorders>
            <w:tcMar>
              <w:top w:w="0" w:type="dxa"/>
              <w:left w:w="108" w:type="dxa"/>
              <w:bottom w:w="0" w:type="dxa"/>
              <w:right w:w="108" w:type="dxa"/>
            </w:tcMar>
            <w:vAlign w:val="bottom"/>
            <w:hideMark/>
          </w:tcPr>
          <w:p w:rsidR="007945B1" w:rsidRDefault="007945B1">
            <w:pPr>
              <w:rPr>
                <w:rFonts w:ascii="Times New Roman" w:eastAsiaTheme="minorHAnsi" w:hAnsi="Times New Roman"/>
                <w:color w:val="000000"/>
                <w:sz w:val="24"/>
                <w:szCs w:val="24"/>
              </w:rPr>
            </w:pPr>
            <w:r>
              <w:rPr>
                <w:rFonts w:ascii="Times New Roman" w:hAnsi="Times New Roman"/>
                <w:color w:val="000000"/>
                <w:sz w:val="24"/>
                <w:szCs w:val="24"/>
              </w:rPr>
              <w:t>Childless adults with incomes below 100% FPL, and parents with incomes up to 200% FPL</w:t>
            </w:r>
          </w:p>
        </w:tc>
      </w:tr>
      <w:tr w:rsidR="007945B1" w:rsidTr="007945B1">
        <w:trPr>
          <w:trHeight w:val="270"/>
          <w:jc w:val="center"/>
        </w:trPr>
        <w:tc>
          <w:tcPr>
            <w:tcW w:w="2000" w:type="dxa"/>
            <w:tcBorders>
              <w:top w:val="nil"/>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7945B1" w:rsidRDefault="007945B1">
            <w:pPr>
              <w:jc w:val="center"/>
              <w:rPr>
                <w:rFonts w:ascii="Times New Roman" w:eastAsiaTheme="minorHAnsi" w:hAnsi="Times New Roman"/>
                <w:color w:val="000000"/>
                <w:sz w:val="24"/>
                <w:szCs w:val="24"/>
              </w:rPr>
            </w:pPr>
            <w:r>
              <w:rPr>
                <w:rFonts w:ascii="Times New Roman" w:hAnsi="Times New Roman"/>
                <w:color w:val="000000"/>
                <w:sz w:val="24"/>
                <w:szCs w:val="24"/>
              </w:rPr>
              <w:t>Maine</w:t>
            </w:r>
          </w:p>
        </w:tc>
        <w:tc>
          <w:tcPr>
            <w:tcW w:w="4520"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7945B1" w:rsidRDefault="007945B1">
            <w:pPr>
              <w:rPr>
                <w:rFonts w:ascii="Times New Roman" w:eastAsiaTheme="minorHAnsi" w:hAnsi="Times New Roman"/>
                <w:color w:val="000000"/>
                <w:sz w:val="24"/>
                <w:szCs w:val="24"/>
              </w:rPr>
            </w:pPr>
            <w:r>
              <w:rPr>
                <w:rFonts w:ascii="Times New Roman" w:hAnsi="Times New Roman"/>
                <w:color w:val="000000"/>
                <w:sz w:val="24"/>
                <w:szCs w:val="24"/>
              </w:rPr>
              <w:t>Childless adults up to 100% FPL</w:t>
            </w:r>
          </w:p>
        </w:tc>
      </w:tr>
      <w:tr w:rsidR="007945B1" w:rsidTr="007945B1">
        <w:trPr>
          <w:trHeight w:val="600"/>
          <w:jc w:val="center"/>
        </w:trPr>
        <w:tc>
          <w:tcPr>
            <w:tcW w:w="2000"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rsidR="007945B1" w:rsidRDefault="007945B1">
            <w:pPr>
              <w:jc w:val="center"/>
              <w:rPr>
                <w:rFonts w:ascii="Times New Roman" w:eastAsiaTheme="minorHAnsi" w:hAnsi="Times New Roman"/>
                <w:color w:val="000000"/>
                <w:sz w:val="24"/>
                <w:szCs w:val="24"/>
              </w:rPr>
            </w:pPr>
            <w:r>
              <w:rPr>
                <w:rFonts w:ascii="Times New Roman" w:hAnsi="Times New Roman"/>
                <w:color w:val="000000"/>
                <w:sz w:val="24"/>
                <w:szCs w:val="24"/>
              </w:rPr>
              <w:t>New York</w:t>
            </w:r>
          </w:p>
        </w:tc>
        <w:tc>
          <w:tcPr>
            <w:tcW w:w="4520" w:type="dxa"/>
            <w:tcBorders>
              <w:top w:val="nil"/>
              <w:left w:val="nil"/>
              <w:bottom w:val="single" w:sz="12" w:space="0" w:color="auto"/>
              <w:right w:val="single" w:sz="12" w:space="0" w:color="auto"/>
            </w:tcBorders>
            <w:tcMar>
              <w:top w:w="0" w:type="dxa"/>
              <w:left w:w="108" w:type="dxa"/>
              <w:bottom w:w="0" w:type="dxa"/>
              <w:right w:w="108" w:type="dxa"/>
            </w:tcMar>
            <w:vAlign w:val="bottom"/>
            <w:hideMark/>
          </w:tcPr>
          <w:p w:rsidR="007945B1" w:rsidRDefault="007945B1" w:rsidP="007945B1">
            <w:pPr>
              <w:rPr>
                <w:rFonts w:ascii="Times New Roman" w:eastAsiaTheme="minorHAnsi" w:hAnsi="Times New Roman"/>
                <w:color w:val="000000"/>
                <w:sz w:val="24"/>
                <w:szCs w:val="24"/>
              </w:rPr>
            </w:pPr>
            <w:r>
              <w:rPr>
                <w:rFonts w:ascii="Times New Roman" w:hAnsi="Times New Roman"/>
                <w:color w:val="000000"/>
                <w:sz w:val="24"/>
                <w:szCs w:val="24"/>
              </w:rPr>
              <w:t>Childless adults up to 100% FPL and parents  with incomes up to 150% FPL</w:t>
            </w:r>
          </w:p>
        </w:tc>
      </w:tr>
    </w:tbl>
    <w:p w:rsidR="00737C28" w:rsidRDefault="00737C28" w:rsidP="00737C28">
      <w:pPr>
        <w:spacing w:after="240"/>
        <w:jc w:val="center"/>
        <w:rPr>
          <w:rFonts w:ascii="Times New Roman" w:hAnsi="Times New Roman"/>
          <w:sz w:val="24"/>
          <w:szCs w:val="24"/>
        </w:rPr>
      </w:pPr>
    </w:p>
    <w:p w:rsidR="00737C28" w:rsidRPr="00737C28" w:rsidRDefault="00737C28" w:rsidP="00737C28">
      <w:pPr>
        <w:spacing w:after="240"/>
        <w:rPr>
          <w:rFonts w:ascii="Times New Roman" w:hAnsi="Times New Roman"/>
          <w:color w:val="000000"/>
          <w:sz w:val="24"/>
          <w:szCs w:val="24"/>
          <w:lang w:eastAsia="en-US"/>
        </w:rPr>
      </w:pPr>
      <w:r w:rsidRPr="00737C28">
        <w:rPr>
          <w:rFonts w:ascii="Times New Roman" w:hAnsi="Times New Roman"/>
          <w:color w:val="000000"/>
          <w:sz w:val="24"/>
          <w:szCs w:val="24"/>
          <w:lang w:eastAsia="en-US"/>
        </w:rPr>
        <w:t xml:space="preserve">Although the populations are similar, they do not match exactly to a population group within the projected expansion to Utah.  These primary and secondary outcomes are relevant to the expansion in Utah, but the numbers cannot be directly applied across the different population groups as they are not </w:t>
      </w:r>
      <w:r w:rsidR="005A49A0">
        <w:rPr>
          <w:rFonts w:ascii="Times New Roman" w:hAnsi="Times New Roman"/>
          <w:color w:val="000000"/>
          <w:sz w:val="24"/>
          <w:szCs w:val="24"/>
          <w:lang w:eastAsia="en-US"/>
        </w:rPr>
        <w:t>in proper alignment</w:t>
      </w:r>
      <w:r w:rsidRPr="00737C28">
        <w:rPr>
          <w:rFonts w:ascii="Times New Roman" w:hAnsi="Times New Roman"/>
          <w:color w:val="000000"/>
          <w:sz w:val="24"/>
          <w:szCs w:val="24"/>
          <w:lang w:eastAsia="en-US"/>
        </w:rPr>
        <w:t xml:space="preserve">.  </w:t>
      </w:r>
    </w:p>
    <w:p w:rsidR="00737C28" w:rsidRPr="00737C28" w:rsidRDefault="00737C28" w:rsidP="00737C28">
      <w:pPr>
        <w:spacing w:after="240"/>
        <w:rPr>
          <w:rFonts w:ascii="Times New Roman" w:hAnsi="Times New Roman"/>
          <w:color w:val="000000"/>
          <w:sz w:val="24"/>
          <w:szCs w:val="24"/>
          <w:lang w:eastAsia="en-US"/>
        </w:rPr>
      </w:pPr>
      <w:r w:rsidRPr="00737C28">
        <w:rPr>
          <w:rFonts w:ascii="Times New Roman" w:hAnsi="Times New Roman"/>
          <w:color w:val="000000"/>
          <w:sz w:val="24"/>
          <w:szCs w:val="24"/>
          <w:lang w:eastAsia="en-US"/>
        </w:rPr>
        <w:lastRenderedPageBreak/>
        <w:t xml:space="preserve">The </w:t>
      </w:r>
      <w:r w:rsidR="00E71364">
        <w:rPr>
          <w:rFonts w:ascii="Times New Roman" w:hAnsi="Times New Roman"/>
          <w:color w:val="000000"/>
          <w:sz w:val="24"/>
          <w:szCs w:val="24"/>
          <w:lang w:eastAsia="en-US"/>
        </w:rPr>
        <w:t xml:space="preserve">primary finding </w:t>
      </w:r>
      <w:r w:rsidRPr="00737C28">
        <w:rPr>
          <w:rFonts w:ascii="Times New Roman" w:hAnsi="Times New Roman"/>
          <w:color w:val="000000"/>
          <w:sz w:val="24"/>
          <w:szCs w:val="24"/>
          <w:lang w:eastAsia="en-US"/>
        </w:rPr>
        <w:t xml:space="preserve">of this study is that Medicaid expansions to cover low income adults significantly reduced all-cause mortality as well as improving coverage, access to care, and self-reported health.  Individual patient characteristics and variations in insurance coverage often plague studies of this nature, but they were not factors in this study as the expansions were viewed as natural experiments.  Significant improvements in self-reported health status </w:t>
      </w:r>
      <w:r w:rsidR="005A49A0">
        <w:rPr>
          <w:rFonts w:ascii="Times New Roman" w:hAnsi="Times New Roman"/>
          <w:color w:val="000000"/>
          <w:sz w:val="24"/>
          <w:szCs w:val="24"/>
          <w:lang w:eastAsia="en-US"/>
        </w:rPr>
        <w:t>were</w:t>
      </w:r>
      <w:r w:rsidRPr="00737C28">
        <w:rPr>
          <w:rFonts w:ascii="Times New Roman" w:hAnsi="Times New Roman"/>
          <w:color w:val="000000"/>
          <w:sz w:val="24"/>
          <w:szCs w:val="24"/>
          <w:lang w:eastAsia="en-US"/>
        </w:rPr>
        <w:t xml:space="preserve"> also a direct benefit of Medicaid expansion in addition to a reduction in all-cause mortality.  Similar results can be expected after an expansion in Utah, but exact numbers cannot be extrapolated across these differing populations.  The differences are too large and would require broad assumptions.  </w:t>
      </w:r>
    </w:p>
    <w:p w:rsidR="007329C6" w:rsidRPr="005173DD" w:rsidRDefault="007329C6" w:rsidP="007329C6">
      <w:pPr>
        <w:spacing w:after="240"/>
        <w:rPr>
          <w:rFonts w:ascii="Times New Roman" w:hAnsi="Times New Roman"/>
          <w:b/>
          <w:i/>
          <w:color w:val="FF0000"/>
          <w:sz w:val="24"/>
          <w:szCs w:val="24"/>
        </w:rPr>
      </w:pPr>
      <w:r w:rsidRPr="009637FD">
        <w:rPr>
          <w:rFonts w:ascii="Times New Roman" w:hAnsi="Times New Roman"/>
          <w:b/>
          <w:i/>
          <w:sz w:val="24"/>
          <w:szCs w:val="24"/>
        </w:rPr>
        <w:t>What the Oregon Health Study Can Tell Us About Expanding Medicaid</w:t>
      </w:r>
      <w:r>
        <w:rPr>
          <w:rStyle w:val="FootnoteReference"/>
          <w:rFonts w:ascii="Times New Roman" w:hAnsi="Times New Roman"/>
          <w:b/>
          <w:i/>
          <w:sz w:val="24"/>
          <w:szCs w:val="24"/>
        </w:rPr>
        <w:footnoteReference w:id="5"/>
      </w:r>
      <w:r>
        <w:rPr>
          <w:rFonts w:ascii="Times New Roman" w:hAnsi="Times New Roman"/>
          <w:b/>
          <w:i/>
          <w:color w:val="FF0000"/>
          <w:sz w:val="24"/>
          <w:szCs w:val="24"/>
        </w:rPr>
        <w:t xml:space="preserve"> </w:t>
      </w:r>
    </w:p>
    <w:p w:rsidR="007329C6" w:rsidRPr="007329C6" w:rsidRDefault="007329C6" w:rsidP="007329C6">
      <w:pPr>
        <w:spacing w:after="240"/>
        <w:rPr>
          <w:rFonts w:ascii="Times New Roman" w:hAnsi="Times New Roman"/>
          <w:color w:val="000000"/>
          <w:sz w:val="24"/>
          <w:szCs w:val="24"/>
          <w:lang w:eastAsia="en-US"/>
        </w:rPr>
      </w:pPr>
      <w:r w:rsidRPr="007329C6">
        <w:rPr>
          <w:rFonts w:ascii="Times New Roman" w:hAnsi="Times New Roman"/>
          <w:color w:val="000000"/>
          <w:sz w:val="24"/>
          <w:szCs w:val="24"/>
          <w:lang w:eastAsia="en-US"/>
        </w:rPr>
        <w:t>Oregon expanded Medicaid through a randomized lottery system for its previously closed public insurance program, the Oregon Health Plan Standard that expands Medicaid coverage to low</w:t>
      </w:r>
      <w:r w:rsidR="00820E79">
        <w:rPr>
          <w:rFonts w:ascii="Times New Roman" w:hAnsi="Times New Roman"/>
          <w:color w:val="000000"/>
          <w:sz w:val="24"/>
          <w:szCs w:val="24"/>
          <w:lang w:eastAsia="en-US"/>
        </w:rPr>
        <w:t>-</w:t>
      </w:r>
      <w:r w:rsidRPr="007329C6">
        <w:rPr>
          <w:rFonts w:ascii="Times New Roman" w:hAnsi="Times New Roman"/>
          <w:color w:val="000000"/>
          <w:sz w:val="24"/>
          <w:szCs w:val="24"/>
          <w:lang w:eastAsia="en-US"/>
        </w:rPr>
        <w:t xml:space="preserve">income adults.  Analysis of the enrolled population into this program demonstrated that individuals who signed up for the waiting list were more likely to have a worse health status than those who did not sign up for the waiting list.  Enrollment numbers were lower than anticipated due to both lack of eligibility and enrollment barriers that are still present across population groups.    </w:t>
      </w:r>
    </w:p>
    <w:p w:rsidR="007329C6" w:rsidRPr="007329C6" w:rsidRDefault="007329C6" w:rsidP="007329C6">
      <w:pPr>
        <w:spacing w:after="240"/>
        <w:rPr>
          <w:rFonts w:ascii="Times New Roman" w:hAnsi="Times New Roman"/>
          <w:color w:val="000000"/>
          <w:sz w:val="24"/>
          <w:szCs w:val="24"/>
          <w:lang w:eastAsia="en-US"/>
        </w:rPr>
      </w:pPr>
      <w:r w:rsidRPr="007329C6">
        <w:rPr>
          <w:rFonts w:ascii="Times New Roman" w:hAnsi="Times New Roman"/>
          <w:color w:val="000000"/>
          <w:sz w:val="24"/>
          <w:szCs w:val="24"/>
          <w:lang w:eastAsia="en-US"/>
        </w:rPr>
        <w:t>This study represented a randomized controlled trial of Medicaid expansion as those were not selected served as a control group.  We must keep in mind that the Medicaid expansion is voluntary and directly contrasts the individual mandate in which individuals must purchase health insurance or suffer a penalty. The take up rate was low across the study population which further conflicts with a mandatory expansion.  To be eligible for the Oregon Health Plan Standard, you must be an adult between the ages of 19 – 64</w:t>
      </w:r>
      <w:r w:rsidR="00820E79">
        <w:rPr>
          <w:rFonts w:ascii="Times New Roman" w:hAnsi="Times New Roman"/>
          <w:color w:val="000000"/>
          <w:sz w:val="24"/>
          <w:szCs w:val="24"/>
          <w:lang w:eastAsia="en-US"/>
        </w:rPr>
        <w:t>, an</w:t>
      </w:r>
      <w:r w:rsidRPr="007329C6">
        <w:rPr>
          <w:rFonts w:ascii="Times New Roman" w:hAnsi="Times New Roman"/>
          <w:color w:val="000000"/>
          <w:sz w:val="24"/>
          <w:szCs w:val="24"/>
          <w:lang w:eastAsia="en-US"/>
        </w:rPr>
        <w:t xml:space="preserve"> Oregon resident</w:t>
      </w:r>
      <w:r w:rsidR="00820E79">
        <w:rPr>
          <w:rFonts w:ascii="Times New Roman" w:hAnsi="Times New Roman"/>
          <w:color w:val="000000"/>
          <w:sz w:val="24"/>
          <w:szCs w:val="24"/>
          <w:lang w:eastAsia="en-US"/>
        </w:rPr>
        <w:t>,</w:t>
      </w:r>
      <w:r w:rsidR="001710E5">
        <w:rPr>
          <w:rFonts w:ascii="Times New Roman" w:hAnsi="Times New Roman"/>
          <w:color w:val="000000"/>
          <w:sz w:val="24"/>
          <w:szCs w:val="24"/>
          <w:lang w:eastAsia="en-US"/>
        </w:rPr>
        <w:t xml:space="preserve"> </w:t>
      </w:r>
      <w:r w:rsidRPr="007329C6">
        <w:rPr>
          <w:rFonts w:ascii="Times New Roman" w:hAnsi="Times New Roman"/>
          <w:color w:val="000000"/>
          <w:sz w:val="24"/>
          <w:szCs w:val="24"/>
          <w:lang w:eastAsia="en-US"/>
        </w:rPr>
        <w:t>a</w:t>
      </w:r>
      <w:r w:rsidR="00820E79">
        <w:rPr>
          <w:rFonts w:ascii="Times New Roman" w:hAnsi="Times New Roman"/>
          <w:color w:val="000000"/>
          <w:sz w:val="24"/>
          <w:szCs w:val="24"/>
          <w:lang w:eastAsia="en-US"/>
        </w:rPr>
        <w:t>nd a</w:t>
      </w:r>
      <w:r w:rsidRPr="007329C6">
        <w:rPr>
          <w:rFonts w:ascii="Times New Roman" w:hAnsi="Times New Roman"/>
          <w:color w:val="000000"/>
          <w:sz w:val="24"/>
          <w:szCs w:val="24"/>
          <w:lang w:eastAsia="en-US"/>
        </w:rPr>
        <w:t xml:space="preserve"> US or legal </w:t>
      </w:r>
      <w:r w:rsidR="00820E79">
        <w:rPr>
          <w:rFonts w:ascii="Times New Roman" w:hAnsi="Times New Roman"/>
          <w:color w:val="000000"/>
          <w:sz w:val="24"/>
          <w:szCs w:val="24"/>
          <w:lang w:eastAsia="en-US"/>
        </w:rPr>
        <w:t xml:space="preserve">resident. You must also have </w:t>
      </w:r>
      <w:r w:rsidRPr="007329C6">
        <w:rPr>
          <w:rFonts w:ascii="Times New Roman" w:hAnsi="Times New Roman"/>
          <w:color w:val="000000"/>
          <w:sz w:val="24"/>
          <w:szCs w:val="24"/>
          <w:lang w:eastAsia="en-US"/>
        </w:rPr>
        <w:t xml:space="preserve">been without health insurance for at least six months, </w:t>
      </w:r>
      <w:r w:rsidR="00820E79">
        <w:rPr>
          <w:rFonts w:ascii="Times New Roman" w:hAnsi="Times New Roman"/>
          <w:color w:val="000000"/>
          <w:sz w:val="24"/>
          <w:szCs w:val="24"/>
          <w:lang w:eastAsia="en-US"/>
        </w:rPr>
        <w:t>have an</w:t>
      </w:r>
      <w:r w:rsidR="00820E79" w:rsidRPr="007329C6">
        <w:rPr>
          <w:rFonts w:ascii="Times New Roman" w:hAnsi="Times New Roman"/>
          <w:color w:val="000000"/>
          <w:sz w:val="24"/>
          <w:szCs w:val="24"/>
          <w:lang w:eastAsia="en-US"/>
        </w:rPr>
        <w:t xml:space="preserve"> </w:t>
      </w:r>
      <w:r w:rsidRPr="007329C6">
        <w:rPr>
          <w:rFonts w:ascii="Times New Roman" w:hAnsi="Times New Roman"/>
          <w:color w:val="000000"/>
          <w:sz w:val="24"/>
          <w:szCs w:val="24"/>
          <w:lang w:eastAsia="en-US"/>
        </w:rPr>
        <w:t>income below the federal poverty level, and ha</w:t>
      </w:r>
      <w:r w:rsidR="00820E79">
        <w:rPr>
          <w:rFonts w:ascii="Times New Roman" w:hAnsi="Times New Roman"/>
          <w:color w:val="000000"/>
          <w:sz w:val="24"/>
          <w:szCs w:val="24"/>
          <w:lang w:eastAsia="en-US"/>
        </w:rPr>
        <w:t>ve</w:t>
      </w:r>
      <w:r w:rsidRPr="007329C6">
        <w:rPr>
          <w:rFonts w:ascii="Times New Roman" w:hAnsi="Times New Roman"/>
          <w:color w:val="000000"/>
          <w:sz w:val="24"/>
          <w:szCs w:val="24"/>
          <w:lang w:eastAsia="en-US"/>
        </w:rPr>
        <w:t xml:space="preserve"> less than $2,000 in assets.  Budgetary shortfalls forced an enrollment cap in 2004, but in 2008, Oregon realized they had the resources to enroll an additional 10,000 adults.  Anticipating high demand for the program, Oregon received approval from CMS to create a lottery system for enrollment into the program and over 85,000 individuals applied to be on the waitlist.  </w:t>
      </w:r>
    </w:p>
    <w:p w:rsidR="007329C6" w:rsidRPr="007329C6" w:rsidRDefault="007329C6" w:rsidP="007329C6">
      <w:pPr>
        <w:spacing w:after="240"/>
        <w:rPr>
          <w:rFonts w:ascii="Times New Roman" w:hAnsi="Times New Roman"/>
          <w:color w:val="000000"/>
          <w:sz w:val="24"/>
          <w:szCs w:val="24"/>
          <w:lang w:eastAsia="en-US"/>
        </w:rPr>
      </w:pPr>
      <w:r w:rsidRPr="007329C6">
        <w:rPr>
          <w:rFonts w:ascii="Times New Roman" w:hAnsi="Times New Roman"/>
          <w:color w:val="000000"/>
          <w:sz w:val="24"/>
          <w:szCs w:val="24"/>
          <w:lang w:eastAsia="en-US"/>
        </w:rPr>
        <w:lastRenderedPageBreak/>
        <w:t xml:space="preserve">Preliminary findings reveal that the individuals who signed up for the waitlist were generally older and in a worse health status when compared to the overall low income uninsured population of Oregon.  Of the 29,411 individuals who were selected from the waitlist, less than one-third ended up enrolled in </w:t>
      </w:r>
      <w:r w:rsidR="001710E5">
        <w:rPr>
          <w:rFonts w:ascii="Times New Roman" w:hAnsi="Times New Roman"/>
          <w:color w:val="000000"/>
          <w:sz w:val="24"/>
          <w:szCs w:val="24"/>
          <w:lang w:eastAsia="en-US"/>
        </w:rPr>
        <w:t xml:space="preserve">the </w:t>
      </w:r>
      <w:r w:rsidRPr="007329C6">
        <w:rPr>
          <w:rFonts w:ascii="Times New Roman" w:hAnsi="Times New Roman"/>
          <w:color w:val="000000"/>
          <w:sz w:val="24"/>
          <w:szCs w:val="24"/>
          <w:lang w:eastAsia="en-US"/>
        </w:rPr>
        <w:t xml:space="preserve">Oregon Health Plan Standard.  About 40% of those selected actually enrolled, and about half of those 50% who applied were found to be eligible for the program.  Participation in the waitlist and take up rates in the program were higher for people in worse health which follows </w:t>
      </w:r>
      <w:r w:rsidR="001710E5">
        <w:rPr>
          <w:rFonts w:ascii="Times New Roman" w:hAnsi="Times New Roman"/>
          <w:color w:val="000000"/>
          <w:sz w:val="24"/>
          <w:szCs w:val="24"/>
          <w:lang w:eastAsia="en-US"/>
        </w:rPr>
        <w:t xml:space="preserve">the </w:t>
      </w:r>
      <w:r w:rsidRPr="007329C6">
        <w:rPr>
          <w:rFonts w:ascii="Times New Roman" w:hAnsi="Times New Roman"/>
          <w:color w:val="000000"/>
          <w:sz w:val="24"/>
          <w:szCs w:val="24"/>
          <w:lang w:eastAsia="en-US"/>
        </w:rPr>
        <w:t xml:space="preserve">logic in that these individuals have more to gain through acquiring coverage. </w:t>
      </w:r>
    </w:p>
    <w:p w:rsidR="007329C6" w:rsidRPr="007329C6" w:rsidRDefault="007329C6" w:rsidP="007329C6">
      <w:pPr>
        <w:spacing w:after="240"/>
        <w:rPr>
          <w:rFonts w:ascii="Times New Roman" w:hAnsi="Times New Roman"/>
          <w:color w:val="000000"/>
          <w:sz w:val="24"/>
          <w:szCs w:val="24"/>
          <w:lang w:eastAsia="en-US"/>
        </w:rPr>
      </w:pPr>
      <w:r w:rsidRPr="007329C6">
        <w:rPr>
          <w:rFonts w:ascii="Times New Roman" w:hAnsi="Times New Roman"/>
          <w:color w:val="000000"/>
          <w:sz w:val="24"/>
          <w:szCs w:val="24"/>
          <w:lang w:eastAsia="en-US"/>
        </w:rPr>
        <w:t xml:space="preserve">This same logic can be applied to Utah in that </w:t>
      </w:r>
      <w:r w:rsidR="001710E5">
        <w:rPr>
          <w:rFonts w:ascii="Times New Roman" w:hAnsi="Times New Roman"/>
          <w:color w:val="000000"/>
          <w:sz w:val="24"/>
          <w:szCs w:val="24"/>
          <w:lang w:eastAsia="en-US"/>
        </w:rPr>
        <w:t>PCG</w:t>
      </w:r>
      <w:r w:rsidR="001710E5" w:rsidRPr="007329C6">
        <w:rPr>
          <w:rFonts w:ascii="Times New Roman" w:hAnsi="Times New Roman"/>
          <w:color w:val="000000"/>
          <w:sz w:val="24"/>
          <w:szCs w:val="24"/>
          <w:lang w:eastAsia="en-US"/>
        </w:rPr>
        <w:t xml:space="preserve"> </w:t>
      </w:r>
      <w:r w:rsidRPr="007329C6">
        <w:rPr>
          <w:rFonts w:ascii="Times New Roman" w:hAnsi="Times New Roman"/>
          <w:color w:val="000000"/>
          <w:sz w:val="24"/>
          <w:szCs w:val="24"/>
          <w:lang w:eastAsia="en-US"/>
        </w:rPr>
        <w:t>expect</w:t>
      </w:r>
      <w:r w:rsidR="001710E5">
        <w:rPr>
          <w:rFonts w:ascii="Times New Roman" w:hAnsi="Times New Roman"/>
          <w:color w:val="000000"/>
          <w:sz w:val="24"/>
          <w:szCs w:val="24"/>
          <w:lang w:eastAsia="en-US"/>
        </w:rPr>
        <w:t>s</w:t>
      </w:r>
      <w:r w:rsidRPr="007329C6">
        <w:rPr>
          <w:rFonts w:ascii="Times New Roman" w:hAnsi="Times New Roman"/>
          <w:color w:val="000000"/>
          <w:sz w:val="24"/>
          <w:szCs w:val="24"/>
          <w:lang w:eastAsia="en-US"/>
        </w:rPr>
        <w:t xml:space="preserve"> sicker individuals to have a greater incentive to enroll when compared to the baseline uninsured population.  This will ultimately impact costs and long terms savings</w:t>
      </w:r>
      <w:r w:rsidR="001710E5">
        <w:rPr>
          <w:rFonts w:ascii="Times New Roman" w:hAnsi="Times New Roman"/>
          <w:color w:val="000000"/>
          <w:sz w:val="24"/>
          <w:szCs w:val="24"/>
          <w:lang w:eastAsia="en-US"/>
        </w:rPr>
        <w:t>.</w:t>
      </w:r>
      <w:r w:rsidRPr="007329C6">
        <w:rPr>
          <w:rFonts w:ascii="Times New Roman" w:hAnsi="Times New Roman"/>
          <w:color w:val="000000"/>
          <w:sz w:val="24"/>
          <w:szCs w:val="24"/>
          <w:lang w:eastAsia="en-US"/>
        </w:rPr>
        <w:t xml:space="preserve"> </w:t>
      </w:r>
      <w:r w:rsidR="001710E5">
        <w:rPr>
          <w:rFonts w:ascii="Times New Roman" w:hAnsi="Times New Roman"/>
          <w:color w:val="000000"/>
          <w:sz w:val="24"/>
          <w:szCs w:val="24"/>
          <w:lang w:eastAsia="en-US"/>
        </w:rPr>
        <w:t>T</w:t>
      </w:r>
      <w:r w:rsidRPr="007329C6">
        <w:rPr>
          <w:rFonts w:ascii="Times New Roman" w:hAnsi="Times New Roman"/>
          <w:color w:val="000000"/>
          <w:sz w:val="24"/>
          <w:szCs w:val="24"/>
          <w:lang w:eastAsia="en-US"/>
        </w:rPr>
        <w:t xml:space="preserve">hese new enrollments must be considered in terms of savings to the uncompensated care costs across the state.  Only preliminary results are available and hard figures are not given, so no calculations can be applied, but we are able to draw associations.   </w:t>
      </w:r>
    </w:p>
    <w:p w:rsidR="007329C6" w:rsidRDefault="007329C6" w:rsidP="007329C6">
      <w:pPr>
        <w:spacing w:after="240"/>
        <w:rPr>
          <w:rFonts w:ascii="Times New Roman" w:hAnsi="Times New Roman"/>
          <w:b/>
          <w:i/>
          <w:sz w:val="24"/>
          <w:szCs w:val="24"/>
        </w:rPr>
      </w:pPr>
      <w:r w:rsidRPr="005F0901">
        <w:rPr>
          <w:rFonts w:ascii="Times New Roman" w:hAnsi="Times New Roman"/>
          <w:b/>
          <w:i/>
          <w:sz w:val="24"/>
          <w:szCs w:val="24"/>
        </w:rPr>
        <w:t>The Cost Effectiveness of Health Insurance</w:t>
      </w:r>
      <w:r>
        <w:rPr>
          <w:rStyle w:val="FootnoteReference"/>
          <w:rFonts w:ascii="Times New Roman" w:hAnsi="Times New Roman"/>
          <w:b/>
          <w:i/>
          <w:sz w:val="24"/>
          <w:szCs w:val="24"/>
        </w:rPr>
        <w:footnoteReference w:id="6"/>
      </w:r>
      <w:r w:rsidRPr="005173DD">
        <w:rPr>
          <w:rFonts w:ascii="Times New Roman" w:hAnsi="Times New Roman"/>
          <w:b/>
          <w:i/>
          <w:color w:val="FF0000"/>
          <w:sz w:val="24"/>
          <w:szCs w:val="24"/>
        </w:rPr>
        <w:t xml:space="preserve"> </w:t>
      </w:r>
    </w:p>
    <w:p w:rsidR="007329C6" w:rsidRPr="007329C6" w:rsidRDefault="007329C6" w:rsidP="007329C6">
      <w:pPr>
        <w:spacing w:after="240"/>
        <w:rPr>
          <w:rFonts w:ascii="Times New Roman" w:hAnsi="Times New Roman"/>
          <w:b/>
          <w:i/>
          <w:sz w:val="24"/>
          <w:szCs w:val="24"/>
        </w:rPr>
      </w:pPr>
      <w:r w:rsidRPr="007329C6">
        <w:rPr>
          <w:rFonts w:ascii="Times New Roman" w:hAnsi="Times New Roman"/>
          <w:color w:val="000000"/>
          <w:sz w:val="24"/>
          <w:szCs w:val="24"/>
          <w:lang w:eastAsia="en-US"/>
        </w:rPr>
        <w:t xml:space="preserve">This study estimates the value of providing health insurance to individuals who are currently uninsured through an incremental cost-effectiveness analysis.  </w:t>
      </w:r>
      <w:proofErr w:type="gramStart"/>
      <w:r w:rsidRPr="007329C6">
        <w:rPr>
          <w:rFonts w:ascii="Times New Roman" w:hAnsi="Times New Roman"/>
          <w:color w:val="000000"/>
          <w:sz w:val="24"/>
          <w:szCs w:val="24"/>
          <w:lang w:eastAsia="en-US"/>
        </w:rPr>
        <w:t>Individuals</w:t>
      </w:r>
      <w:proofErr w:type="gramEnd"/>
      <w:r w:rsidRPr="007329C6">
        <w:rPr>
          <w:rFonts w:ascii="Times New Roman" w:hAnsi="Times New Roman"/>
          <w:color w:val="000000"/>
          <w:sz w:val="24"/>
          <w:szCs w:val="24"/>
          <w:lang w:eastAsia="en-US"/>
        </w:rPr>
        <w:t xml:space="preserve"> age</w:t>
      </w:r>
      <w:r w:rsidR="001710E5">
        <w:rPr>
          <w:rFonts w:ascii="Times New Roman" w:hAnsi="Times New Roman"/>
          <w:color w:val="000000"/>
          <w:sz w:val="24"/>
          <w:szCs w:val="24"/>
          <w:lang w:eastAsia="en-US"/>
        </w:rPr>
        <w:t>s</w:t>
      </w:r>
      <w:r w:rsidRPr="007329C6">
        <w:rPr>
          <w:rFonts w:ascii="Times New Roman" w:hAnsi="Times New Roman"/>
          <w:color w:val="000000"/>
          <w:sz w:val="24"/>
          <w:szCs w:val="24"/>
          <w:lang w:eastAsia="en-US"/>
        </w:rPr>
        <w:t xml:space="preserve"> 25 </w:t>
      </w:r>
      <w:r w:rsidR="001710E5">
        <w:rPr>
          <w:rFonts w:ascii="Times New Roman" w:hAnsi="Times New Roman"/>
          <w:color w:val="000000"/>
          <w:sz w:val="24"/>
          <w:szCs w:val="24"/>
          <w:lang w:eastAsia="en-US"/>
        </w:rPr>
        <w:t>to</w:t>
      </w:r>
      <w:r w:rsidRPr="007329C6">
        <w:rPr>
          <w:rFonts w:ascii="Times New Roman" w:hAnsi="Times New Roman"/>
          <w:color w:val="000000"/>
          <w:sz w:val="24"/>
          <w:szCs w:val="24"/>
          <w:lang w:eastAsia="en-US"/>
        </w:rPr>
        <w:t xml:space="preserve"> 64 across two individual surveys were examined to estimate the contribution of socio</w:t>
      </w:r>
      <w:r w:rsidR="001710E5">
        <w:rPr>
          <w:rFonts w:ascii="Times New Roman" w:hAnsi="Times New Roman"/>
          <w:color w:val="000000"/>
          <w:sz w:val="24"/>
          <w:szCs w:val="24"/>
          <w:lang w:eastAsia="en-US"/>
        </w:rPr>
        <w:t>-</w:t>
      </w:r>
      <w:r w:rsidRPr="007329C6">
        <w:rPr>
          <w:rFonts w:ascii="Times New Roman" w:hAnsi="Times New Roman"/>
          <w:color w:val="000000"/>
          <w:sz w:val="24"/>
          <w:szCs w:val="24"/>
          <w:lang w:eastAsia="en-US"/>
        </w:rPr>
        <w:t xml:space="preserve">demographic, health, and health behavior characteristics on insured persons’ quality-adjusted life years (QALYs) and healthcare costs.  </w:t>
      </w:r>
    </w:p>
    <w:p w:rsidR="007329C6" w:rsidRPr="007329C6" w:rsidRDefault="007329C6" w:rsidP="007329C6">
      <w:pPr>
        <w:spacing w:after="240"/>
        <w:rPr>
          <w:rFonts w:ascii="Times New Roman" w:hAnsi="Times New Roman"/>
          <w:color w:val="000000"/>
          <w:sz w:val="24"/>
          <w:szCs w:val="24"/>
          <w:lang w:eastAsia="en-US"/>
        </w:rPr>
      </w:pPr>
      <w:r w:rsidRPr="007329C6">
        <w:rPr>
          <w:rFonts w:ascii="Times New Roman" w:hAnsi="Times New Roman"/>
          <w:color w:val="000000"/>
          <w:sz w:val="24"/>
          <w:szCs w:val="24"/>
          <w:lang w:eastAsia="en-US"/>
        </w:rPr>
        <w:t>A three step process was utilized in estimating the cost-effectiveness of insuring those currently uninsured.  First a regression analysis of nationally representative data of privately insured individual</w:t>
      </w:r>
      <w:r w:rsidR="001710E5">
        <w:rPr>
          <w:rFonts w:ascii="Times New Roman" w:hAnsi="Times New Roman"/>
          <w:color w:val="000000"/>
          <w:sz w:val="24"/>
          <w:szCs w:val="24"/>
          <w:lang w:eastAsia="en-US"/>
        </w:rPr>
        <w:t>s</w:t>
      </w:r>
      <w:r w:rsidRPr="007329C6">
        <w:rPr>
          <w:rFonts w:ascii="Times New Roman" w:hAnsi="Times New Roman"/>
          <w:color w:val="000000"/>
          <w:sz w:val="24"/>
          <w:szCs w:val="24"/>
          <w:lang w:eastAsia="en-US"/>
        </w:rPr>
        <w:t xml:space="preserve"> modeled the effects of socio</w:t>
      </w:r>
      <w:r w:rsidR="001710E5">
        <w:rPr>
          <w:rFonts w:ascii="Times New Roman" w:hAnsi="Times New Roman"/>
          <w:color w:val="000000"/>
          <w:sz w:val="24"/>
          <w:szCs w:val="24"/>
          <w:lang w:eastAsia="en-US"/>
        </w:rPr>
        <w:t>-</w:t>
      </w:r>
      <w:r w:rsidRPr="007329C6">
        <w:rPr>
          <w:rFonts w:ascii="Times New Roman" w:hAnsi="Times New Roman"/>
          <w:color w:val="000000"/>
          <w:sz w:val="24"/>
          <w:szCs w:val="24"/>
          <w:lang w:eastAsia="en-US"/>
        </w:rPr>
        <w:t>demographic and clinical variables on costs, quality of life values</w:t>
      </w:r>
      <w:r w:rsidR="001710E5">
        <w:rPr>
          <w:rFonts w:ascii="Times New Roman" w:hAnsi="Times New Roman"/>
          <w:color w:val="000000"/>
          <w:sz w:val="24"/>
          <w:szCs w:val="24"/>
          <w:lang w:eastAsia="en-US"/>
        </w:rPr>
        <w:t>,</w:t>
      </w:r>
      <w:r w:rsidRPr="007329C6">
        <w:rPr>
          <w:rFonts w:ascii="Times New Roman" w:hAnsi="Times New Roman"/>
          <w:color w:val="000000"/>
          <w:sz w:val="24"/>
          <w:szCs w:val="24"/>
          <w:lang w:eastAsia="en-US"/>
        </w:rPr>
        <w:t xml:space="preserve"> and mortality.  Values from this analysis were then applied to the socio</w:t>
      </w:r>
      <w:r w:rsidR="001710E5">
        <w:rPr>
          <w:rFonts w:ascii="Times New Roman" w:hAnsi="Times New Roman"/>
          <w:color w:val="000000"/>
          <w:sz w:val="24"/>
          <w:szCs w:val="24"/>
          <w:lang w:eastAsia="en-US"/>
        </w:rPr>
        <w:t>-</w:t>
      </w:r>
      <w:r w:rsidRPr="007329C6">
        <w:rPr>
          <w:rFonts w:ascii="Times New Roman" w:hAnsi="Times New Roman"/>
          <w:color w:val="000000"/>
          <w:sz w:val="24"/>
          <w:szCs w:val="24"/>
          <w:lang w:eastAsia="en-US"/>
        </w:rPr>
        <w:t>demographic and clinical characteristics of the uninsured to predict the costs and health benefits of providing insurance</w:t>
      </w:r>
      <w:r w:rsidR="001710E5">
        <w:rPr>
          <w:rFonts w:ascii="Times New Roman" w:hAnsi="Times New Roman"/>
          <w:color w:val="000000"/>
          <w:sz w:val="24"/>
          <w:szCs w:val="24"/>
          <w:lang w:eastAsia="en-US"/>
        </w:rPr>
        <w:t>.</w:t>
      </w:r>
      <w:r w:rsidRPr="007329C6">
        <w:rPr>
          <w:rFonts w:ascii="Times New Roman" w:hAnsi="Times New Roman"/>
          <w:color w:val="000000"/>
          <w:sz w:val="24"/>
          <w:szCs w:val="24"/>
          <w:lang w:eastAsia="en-US"/>
        </w:rPr>
        <w:t xml:space="preserve"> </w:t>
      </w:r>
      <w:r w:rsidR="001710E5">
        <w:rPr>
          <w:rFonts w:ascii="Times New Roman" w:hAnsi="Times New Roman"/>
          <w:color w:val="000000"/>
          <w:sz w:val="24"/>
          <w:szCs w:val="24"/>
          <w:lang w:eastAsia="en-US"/>
        </w:rPr>
        <w:t xml:space="preserve"> F</w:t>
      </w:r>
      <w:r w:rsidRPr="007329C6">
        <w:rPr>
          <w:rFonts w:ascii="Times New Roman" w:hAnsi="Times New Roman"/>
          <w:color w:val="000000"/>
          <w:sz w:val="24"/>
          <w:szCs w:val="24"/>
          <w:lang w:eastAsia="en-US"/>
        </w:rPr>
        <w:t xml:space="preserve">inally a Markov model was used to estimate these costs from age 25 through 64.  Outcomes in this study were provided in quality adjusted life years, with a QALY of 1 representing a year spent in perfect health.  Additional costs per QALY are represented as an incremental cost-effectiveness ratio (ICER).  </w:t>
      </w:r>
    </w:p>
    <w:p w:rsidR="00793492" w:rsidRDefault="007329C6" w:rsidP="007329C6">
      <w:pPr>
        <w:spacing w:after="240"/>
        <w:rPr>
          <w:rFonts w:ascii="Times New Roman" w:hAnsi="Times New Roman"/>
          <w:color w:val="000000"/>
          <w:sz w:val="24"/>
          <w:szCs w:val="24"/>
          <w:lang w:eastAsia="en-US"/>
        </w:rPr>
      </w:pPr>
      <w:r w:rsidRPr="007329C6">
        <w:rPr>
          <w:rFonts w:ascii="Times New Roman" w:hAnsi="Times New Roman"/>
          <w:color w:val="000000"/>
          <w:sz w:val="24"/>
          <w:szCs w:val="24"/>
          <w:lang w:eastAsia="en-US"/>
        </w:rPr>
        <w:lastRenderedPageBreak/>
        <w:t xml:space="preserve">The incremental cost effectiveness ratio for </w:t>
      </w:r>
      <w:proofErr w:type="gramStart"/>
      <w:r w:rsidRPr="007329C6">
        <w:rPr>
          <w:rFonts w:ascii="Times New Roman" w:hAnsi="Times New Roman"/>
          <w:color w:val="000000"/>
          <w:sz w:val="24"/>
          <w:szCs w:val="24"/>
          <w:lang w:eastAsia="en-US"/>
        </w:rPr>
        <w:t>adults</w:t>
      </w:r>
      <w:proofErr w:type="gramEnd"/>
      <w:r w:rsidRPr="007329C6">
        <w:rPr>
          <w:rFonts w:ascii="Times New Roman" w:hAnsi="Times New Roman"/>
          <w:color w:val="000000"/>
          <w:sz w:val="24"/>
          <w:szCs w:val="24"/>
          <w:lang w:eastAsia="en-US"/>
        </w:rPr>
        <w:t xml:space="preserve"> </w:t>
      </w:r>
      <w:r w:rsidR="001710E5">
        <w:rPr>
          <w:rFonts w:ascii="Times New Roman" w:hAnsi="Times New Roman"/>
          <w:color w:val="000000"/>
          <w:sz w:val="24"/>
          <w:szCs w:val="24"/>
          <w:lang w:eastAsia="en-US"/>
        </w:rPr>
        <w:t xml:space="preserve">ages 25 through 64 </w:t>
      </w:r>
      <w:r w:rsidRPr="007329C6">
        <w:rPr>
          <w:rFonts w:ascii="Times New Roman" w:hAnsi="Times New Roman"/>
          <w:color w:val="000000"/>
          <w:sz w:val="24"/>
          <w:szCs w:val="24"/>
          <w:lang w:eastAsia="en-US"/>
        </w:rPr>
        <w:t xml:space="preserve">is approximately $35,000 per QALY with a range of $21,000 to $48,000.  Additional health care services purchased with health insurance provide gains in life quality that are on par with other medical interventions society typically chooses to fund.  </w:t>
      </w:r>
    </w:p>
    <w:p w:rsidR="007329C6" w:rsidRPr="007329C6" w:rsidRDefault="007329C6" w:rsidP="007329C6">
      <w:pPr>
        <w:spacing w:after="240"/>
        <w:rPr>
          <w:rFonts w:ascii="Times New Roman" w:hAnsi="Times New Roman"/>
          <w:b/>
          <w:i/>
          <w:sz w:val="24"/>
          <w:szCs w:val="24"/>
        </w:rPr>
      </w:pPr>
      <w:r w:rsidRPr="007329C6">
        <w:rPr>
          <w:rFonts w:ascii="Times New Roman" w:hAnsi="Times New Roman"/>
          <w:color w:val="000000"/>
          <w:sz w:val="24"/>
          <w:szCs w:val="24"/>
          <w:lang w:eastAsia="en-US"/>
        </w:rPr>
        <w:t>Results from this study indicate that for the uninsured, actual expenditures are lower, quality of life is lower</w:t>
      </w:r>
      <w:r w:rsidR="00793492">
        <w:rPr>
          <w:rFonts w:ascii="Times New Roman" w:hAnsi="Times New Roman"/>
          <w:color w:val="000000"/>
          <w:sz w:val="24"/>
          <w:szCs w:val="24"/>
          <w:lang w:eastAsia="en-US"/>
        </w:rPr>
        <w:t>,</w:t>
      </w:r>
      <w:r w:rsidRPr="007329C6">
        <w:rPr>
          <w:rFonts w:ascii="Times New Roman" w:hAnsi="Times New Roman"/>
          <w:color w:val="000000"/>
          <w:sz w:val="24"/>
          <w:szCs w:val="24"/>
          <w:lang w:eastAsia="en-US"/>
        </w:rPr>
        <w:t xml:space="preserve"> and mortality experiences are higher.  The average 25 year old gains .9 QALY over the study period or gain .6 years of life (unadjusted for quality).  These gains in health and life expectancy are comparable to programs or medical interventions that are considered a “good buy.”  We can also note from this study that the cost effectiveness of health insurance increases with age.  </w:t>
      </w:r>
    </w:p>
    <w:p w:rsidR="007329C6" w:rsidRPr="007329C6" w:rsidRDefault="007329C6" w:rsidP="007329C6">
      <w:pPr>
        <w:spacing w:after="240"/>
        <w:rPr>
          <w:rFonts w:ascii="Times New Roman" w:hAnsi="Times New Roman"/>
          <w:color w:val="000000"/>
          <w:sz w:val="24"/>
          <w:szCs w:val="24"/>
          <w:lang w:eastAsia="en-US"/>
        </w:rPr>
      </w:pPr>
      <w:r w:rsidRPr="007329C6">
        <w:rPr>
          <w:rFonts w:ascii="Times New Roman" w:hAnsi="Times New Roman"/>
          <w:color w:val="000000"/>
          <w:sz w:val="24"/>
          <w:szCs w:val="24"/>
          <w:lang w:eastAsia="en-US"/>
        </w:rPr>
        <w:t xml:space="preserve">This study is relevant to expanding Medicaid in Utah in that it provides baseline numbers of the cost effectiveness of providing health insurance to the uninsured. Although these figures do not apply directly to Medicaid expansion, they do demonstrate how increased coverage yields both an increased quality of life and a greater life expectancy. This study also shows us how the cost effectiveness of these greater yields increases with age which needs to be taken into consideration when considering the expansion population for the state of Utah.    </w:t>
      </w:r>
    </w:p>
    <w:p w:rsidR="00C80065" w:rsidRDefault="00C80065">
      <w:pPr>
        <w:spacing w:after="0" w:line="240" w:lineRule="auto"/>
        <w:rPr>
          <w:rFonts w:ascii="Times New Roman" w:hAnsi="Times New Roman"/>
          <w:sz w:val="24"/>
          <w:szCs w:val="24"/>
        </w:rPr>
      </w:pPr>
      <w:r>
        <w:rPr>
          <w:rFonts w:ascii="Times New Roman" w:hAnsi="Times New Roman"/>
          <w:sz w:val="24"/>
          <w:szCs w:val="24"/>
        </w:rPr>
        <w:br w:type="page"/>
      </w:r>
    </w:p>
    <w:p w:rsidR="00C80065" w:rsidRPr="00181A60" w:rsidRDefault="00C80065" w:rsidP="00C80065">
      <w:pPr>
        <w:spacing w:after="240"/>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Administrative Costs and Savings</w:t>
      </w:r>
    </w:p>
    <w:p w:rsidR="001325EE" w:rsidRPr="001325EE" w:rsidRDefault="001325EE" w:rsidP="001325EE">
      <w:pPr>
        <w:spacing w:after="240"/>
        <w:rPr>
          <w:rFonts w:ascii="Times New Roman" w:hAnsi="Times New Roman"/>
          <w:sz w:val="24"/>
          <w:szCs w:val="24"/>
        </w:rPr>
      </w:pPr>
      <w:r w:rsidRPr="001325EE">
        <w:rPr>
          <w:rFonts w:ascii="Times New Roman" w:hAnsi="Times New Roman"/>
          <w:sz w:val="24"/>
          <w:szCs w:val="24"/>
        </w:rPr>
        <w:t>An</w:t>
      </w:r>
      <w:r>
        <w:rPr>
          <w:rFonts w:ascii="Times New Roman" w:hAnsi="Times New Roman"/>
          <w:sz w:val="24"/>
          <w:szCs w:val="24"/>
        </w:rPr>
        <w:t>y increase in</w:t>
      </w:r>
      <w:r w:rsidR="009176EA">
        <w:rPr>
          <w:rFonts w:ascii="Times New Roman" w:hAnsi="Times New Roman"/>
          <w:sz w:val="24"/>
          <w:szCs w:val="24"/>
        </w:rPr>
        <w:t xml:space="preserve"> Medicaid</w:t>
      </w:r>
      <w:r w:rsidRPr="001325EE">
        <w:rPr>
          <w:rFonts w:ascii="Times New Roman" w:hAnsi="Times New Roman"/>
          <w:sz w:val="24"/>
          <w:szCs w:val="24"/>
        </w:rPr>
        <w:t xml:space="preserve"> </w:t>
      </w:r>
      <w:r>
        <w:rPr>
          <w:rFonts w:ascii="Times New Roman" w:hAnsi="Times New Roman"/>
          <w:sz w:val="24"/>
          <w:szCs w:val="24"/>
        </w:rPr>
        <w:t xml:space="preserve">caseload leads </w:t>
      </w:r>
      <w:r w:rsidRPr="001325EE">
        <w:rPr>
          <w:rFonts w:ascii="Times New Roman" w:hAnsi="Times New Roman"/>
          <w:sz w:val="24"/>
          <w:szCs w:val="24"/>
        </w:rPr>
        <w:t xml:space="preserve">to increased </w:t>
      </w:r>
      <w:r>
        <w:rPr>
          <w:rFonts w:ascii="Times New Roman" w:hAnsi="Times New Roman"/>
          <w:sz w:val="24"/>
          <w:szCs w:val="24"/>
        </w:rPr>
        <w:t xml:space="preserve">administrative </w:t>
      </w:r>
      <w:r w:rsidRPr="001325EE">
        <w:rPr>
          <w:rFonts w:ascii="Times New Roman" w:hAnsi="Times New Roman"/>
          <w:sz w:val="24"/>
          <w:szCs w:val="24"/>
        </w:rPr>
        <w:t xml:space="preserve">costs for the departments that </w:t>
      </w:r>
      <w:r>
        <w:rPr>
          <w:rFonts w:ascii="Times New Roman" w:hAnsi="Times New Roman"/>
          <w:sz w:val="24"/>
          <w:szCs w:val="24"/>
        </w:rPr>
        <w:t>a</w:t>
      </w:r>
      <w:r w:rsidRPr="001325EE">
        <w:rPr>
          <w:rFonts w:ascii="Times New Roman" w:hAnsi="Times New Roman"/>
          <w:sz w:val="24"/>
          <w:szCs w:val="24"/>
        </w:rPr>
        <w:t>dminister the program.</w:t>
      </w:r>
      <w:r>
        <w:rPr>
          <w:rFonts w:ascii="Times New Roman" w:hAnsi="Times New Roman"/>
          <w:sz w:val="24"/>
          <w:szCs w:val="24"/>
        </w:rPr>
        <w:t xml:space="preserve">  This section of the report models cost</w:t>
      </w:r>
      <w:r w:rsidR="009176EA">
        <w:rPr>
          <w:rFonts w:ascii="Times New Roman" w:hAnsi="Times New Roman"/>
          <w:sz w:val="24"/>
          <w:szCs w:val="24"/>
        </w:rPr>
        <w:t>s</w:t>
      </w:r>
      <w:r w:rsidRPr="001325EE">
        <w:rPr>
          <w:rFonts w:ascii="Times New Roman" w:hAnsi="Times New Roman"/>
          <w:sz w:val="24"/>
          <w:szCs w:val="24"/>
        </w:rPr>
        <w:t xml:space="preserve"> </w:t>
      </w:r>
      <w:r w:rsidR="009176EA">
        <w:rPr>
          <w:rFonts w:ascii="Times New Roman" w:hAnsi="Times New Roman"/>
          <w:sz w:val="24"/>
          <w:szCs w:val="24"/>
        </w:rPr>
        <w:t xml:space="preserve">of </w:t>
      </w:r>
      <w:r>
        <w:rPr>
          <w:rFonts w:ascii="Times New Roman" w:hAnsi="Times New Roman"/>
          <w:sz w:val="24"/>
          <w:szCs w:val="24"/>
        </w:rPr>
        <w:t>the</w:t>
      </w:r>
      <w:r w:rsidRPr="001325EE">
        <w:rPr>
          <w:rFonts w:ascii="Times New Roman" w:hAnsi="Times New Roman"/>
          <w:sz w:val="24"/>
          <w:szCs w:val="24"/>
        </w:rPr>
        <w:t xml:space="preserve"> </w:t>
      </w:r>
      <w:r>
        <w:rPr>
          <w:rFonts w:ascii="Times New Roman" w:hAnsi="Times New Roman"/>
          <w:sz w:val="24"/>
          <w:szCs w:val="24"/>
        </w:rPr>
        <w:t>t</w:t>
      </w:r>
      <w:r w:rsidRPr="001325EE">
        <w:rPr>
          <w:rFonts w:ascii="Times New Roman" w:hAnsi="Times New Roman"/>
          <w:sz w:val="24"/>
          <w:szCs w:val="24"/>
        </w:rPr>
        <w:t>hree departments that will be</w:t>
      </w:r>
      <w:r>
        <w:rPr>
          <w:rFonts w:ascii="Times New Roman" w:hAnsi="Times New Roman"/>
          <w:sz w:val="24"/>
          <w:szCs w:val="24"/>
        </w:rPr>
        <w:t xml:space="preserve"> the most</w:t>
      </w:r>
      <w:r w:rsidRPr="001325EE">
        <w:rPr>
          <w:rFonts w:ascii="Times New Roman" w:hAnsi="Times New Roman"/>
          <w:sz w:val="24"/>
          <w:szCs w:val="24"/>
        </w:rPr>
        <w:t xml:space="preserve"> impacted by Medicaid expansion</w:t>
      </w:r>
      <w:r>
        <w:rPr>
          <w:rFonts w:ascii="Times New Roman" w:hAnsi="Times New Roman"/>
          <w:sz w:val="24"/>
          <w:szCs w:val="24"/>
        </w:rPr>
        <w:t>. These are</w:t>
      </w:r>
      <w:r w:rsidRPr="001325EE">
        <w:rPr>
          <w:rFonts w:ascii="Times New Roman" w:hAnsi="Times New Roman"/>
          <w:sz w:val="24"/>
          <w:szCs w:val="24"/>
        </w:rPr>
        <w:t xml:space="preserve"> the Department of Health (DOH), the single state agency that administers the Medicaid program, the Department of Workforce Services (DWS), the state agency </w:t>
      </w:r>
      <w:r w:rsidR="002D3FEE">
        <w:rPr>
          <w:rFonts w:ascii="Times New Roman" w:hAnsi="Times New Roman"/>
          <w:sz w:val="24"/>
          <w:szCs w:val="24"/>
        </w:rPr>
        <w:t xml:space="preserve">primarily </w:t>
      </w:r>
      <w:r w:rsidRPr="001325EE">
        <w:rPr>
          <w:rFonts w:ascii="Times New Roman" w:hAnsi="Times New Roman"/>
          <w:sz w:val="24"/>
          <w:szCs w:val="24"/>
        </w:rPr>
        <w:t xml:space="preserve">responsible for eligibility determinations in the state, and the Department of Human Services (DHS). Other state departments likely to be affected </w:t>
      </w:r>
      <w:r w:rsidR="00793492">
        <w:rPr>
          <w:rFonts w:ascii="Times New Roman" w:hAnsi="Times New Roman"/>
          <w:sz w:val="24"/>
          <w:szCs w:val="24"/>
        </w:rPr>
        <w:t xml:space="preserve">are </w:t>
      </w:r>
      <w:r w:rsidRPr="001325EE">
        <w:rPr>
          <w:rFonts w:ascii="Times New Roman" w:hAnsi="Times New Roman"/>
          <w:sz w:val="24"/>
          <w:szCs w:val="24"/>
        </w:rPr>
        <w:t xml:space="preserve">the Department of Technology (DOT), the Office of Medicaid Inspector General (OIG), and the Medicaid Fraud Control Unit (MFCU).   The following analysis provides PCG’s estimates for the costs expected to be borne by DOH, DWS, and DHS if the state chooses to expand Medicaid.   </w:t>
      </w:r>
      <w:r w:rsidR="00F30A81">
        <w:rPr>
          <w:rFonts w:ascii="Times New Roman" w:hAnsi="Times New Roman"/>
          <w:sz w:val="24"/>
          <w:szCs w:val="24"/>
        </w:rPr>
        <w:t>Administrative cost f</w:t>
      </w:r>
      <w:r w:rsidRPr="001325EE">
        <w:rPr>
          <w:rFonts w:ascii="Times New Roman" w:hAnsi="Times New Roman"/>
          <w:sz w:val="24"/>
          <w:szCs w:val="24"/>
        </w:rPr>
        <w:t xml:space="preserve">iscal figures were either not available or </w:t>
      </w:r>
      <w:r w:rsidR="00793492">
        <w:rPr>
          <w:rFonts w:ascii="Times New Roman" w:hAnsi="Times New Roman"/>
          <w:sz w:val="24"/>
          <w:szCs w:val="24"/>
        </w:rPr>
        <w:t xml:space="preserve">were </w:t>
      </w:r>
      <w:r w:rsidRPr="001325EE">
        <w:rPr>
          <w:rFonts w:ascii="Times New Roman" w:hAnsi="Times New Roman"/>
          <w:sz w:val="24"/>
          <w:szCs w:val="24"/>
        </w:rPr>
        <w:t xml:space="preserve">expected to be relatively nominal for the other entities due to expansion and </w:t>
      </w:r>
      <w:r w:rsidR="00793492">
        <w:rPr>
          <w:rFonts w:ascii="Times New Roman" w:hAnsi="Times New Roman"/>
          <w:sz w:val="24"/>
          <w:szCs w:val="24"/>
        </w:rPr>
        <w:t xml:space="preserve">therefore </w:t>
      </w:r>
      <w:r w:rsidRPr="001325EE">
        <w:rPr>
          <w:rFonts w:ascii="Times New Roman" w:hAnsi="Times New Roman"/>
          <w:sz w:val="24"/>
          <w:szCs w:val="24"/>
        </w:rPr>
        <w:t>are not included here.</w:t>
      </w:r>
    </w:p>
    <w:p w:rsidR="00C80065" w:rsidRPr="00181A60" w:rsidRDefault="001325EE" w:rsidP="001325EE">
      <w:pPr>
        <w:spacing w:after="240"/>
        <w:rPr>
          <w:rFonts w:ascii="Times New Roman" w:hAnsi="Times New Roman"/>
          <w:sz w:val="24"/>
          <w:szCs w:val="24"/>
        </w:rPr>
      </w:pPr>
      <w:r w:rsidRPr="001325EE">
        <w:rPr>
          <w:rFonts w:ascii="Times New Roman" w:hAnsi="Times New Roman"/>
          <w:sz w:val="24"/>
          <w:szCs w:val="24"/>
        </w:rPr>
        <w:t xml:space="preserve">This analysis considers the three applicable Departments independently by using unit costing figures for each Department.  This unit cost </w:t>
      </w:r>
      <w:r>
        <w:rPr>
          <w:rFonts w:ascii="Times New Roman" w:hAnsi="Times New Roman"/>
          <w:sz w:val="24"/>
          <w:szCs w:val="24"/>
        </w:rPr>
        <w:t>can then be applied to any expansion population total in order to project the additional costs the Departments will face as a function of caseload.</w:t>
      </w:r>
    </w:p>
    <w:p w:rsidR="00C80065" w:rsidRPr="00181A60" w:rsidRDefault="00C80065" w:rsidP="00C80065">
      <w:pPr>
        <w:spacing w:after="240"/>
        <w:rPr>
          <w:rFonts w:ascii="Times New Roman" w:hAnsi="Times New Roman"/>
          <w:b/>
          <w:i/>
          <w:sz w:val="24"/>
          <w:szCs w:val="24"/>
        </w:rPr>
      </w:pPr>
      <w:r>
        <w:rPr>
          <w:rFonts w:ascii="Times New Roman" w:hAnsi="Times New Roman"/>
          <w:b/>
          <w:i/>
          <w:sz w:val="24"/>
          <w:szCs w:val="24"/>
        </w:rPr>
        <w:t>Data, Methodology, and Assumptions</w:t>
      </w:r>
    </w:p>
    <w:p w:rsidR="004E3566" w:rsidRPr="004E3566" w:rsidRDefault="004E3566" w:rsidP="004E3566">
      <w:pPr>
        <w:rPr>
          <w:rFonts w:ascii="Times New Roman" w:hAnsi="Times New Roman"/>
          <w:b/>
          <w:sz w:val="24"/>
          <w:szCs w:val="24"/>
        </w:rPr>
      </w:pPr>
      <w:r w:rsidRPr="004E3566">
        <w:rPr>
          <w:rFonts w:ascii="Times New Roman" w:hAnsi="Times New Roman"/>
          <w:b/>
          <w:sz w:val="24"/>
          <w:szCs w:val="24"/>
        </w:rPr>
        <w:t>Department of Health</w:t>
      </w:r>
    </w:p>
    <w:p w:rsidR="004E3566" w:rsidRPr="004E3566" w:rsidRDefault="004E3566" w:rsidP="004E3566">
      <w:pPr>
        <w:rPr>
          <w:rFonts w:ascii="Times New Roman" w:hAnsi="Times New Roman"/>
          <w:sz w:val="24"/>
          <w:szCs w:val="24"/>
        </w:rPr>
      </w:pPr>
      <w:r w:rsidRPr="004E3566">
        <w:rPr>
          <w:rFonts w:ascii="Times New Roman" w:hAnsi="Times New Roman"/>
          <w:sz w:val="24"/>
          <w:szCs w:val="24"/>
        </w:rPr>
        <w:t>The Department of Health (DOH) is the single state agency responsible for administering Utah’s Medicaid program. DOH is certain to face additional administrative costs if Utah decides to expand it</w:t>
      </w:r>
      <w:r w:rsidR="00793492">
        <w:rPr>
          <w:rFonts w:ascii="Times New Roman" w:hAnsi="Times New Roman"/>
          <w:sz w:val="24"/>
          <w:szCs w:val="24"/>
        </w:rPr>
        <w:t>s</w:t>
      </w:r>
      <w:r w:rsidRPr="004E3566">
        <w:rPr>
          <w:rFonts w:ascii="Times New Roman" w:hAnsi="Times New Roman"/>
          <w:sz w:val="24"/>
          <w:szCs w:val="24"/>
        </w:rPr>
        <w:t xml:space="preserve"> Medicaid program.  In order </w:t>
      </w:r>
      <w:r w:rsidR="00793492">
        <w:rPr>
          <w:rFonts w:ascii="Times New Roman" w:hAnsi="Times New Roman"/>
          <w:sz w:val="24"/>
          <w:szCs w:val="24"/>
        </w:rPr>
        <w:t xml:space="preserve">to </w:t>
      </w:r>
      <w:r w:rsidRPr="004E3566">
        <w:rPr>
          <w:rFonts w:ascii="Times New Roman" w:hAnsi="Times New Roman"/>
          <w:sz w:val="24"/>
          <w:szCs w:val="24"/>
        </w:rPr>
        <w:t xml:space="preserve">approximate the costs to DOH of adding additional Medicaid clients, DOH’s </w:t>
      </w:r>
      <w:r>
        <w:rPr>
          <w:rFonts w:ascii="Times New Roman" w:hAnsi="Times New Roman"/>
          <w:sz w:val="24"/>
          <w:szCs w:val="24"/>
        </w:rPr>
        <w:t>2010 and 2011</w:t>
      </w:r>
      <w:r w:rsidRPr="004E3566">
        <w:rPr>
          <w:rFonts w:ascii="Times New Roman" w:hAnsi="Times New Roman"/>
          <w:sz w:val="24"/>
          <w:szCs w:val="24"/>
        </w:rPr>
        <w:t xml:space="preserve"> annual reports were analyzed for total expenditures, administrative costs, and Medicaid enrollment numbers.  The following charts outline the findings:</w:t>
      </w:r>
    </w:p>
    <w:p w:rsidR="004E3566" w:rsidRDefault="000A5531" w:rsidP="004E3566">
      <w:pPr>
        <w:jc w:val="center"/>
      </w:pPr>
      <w:r w:rsidRPr="000A5531">
        <w:rPr>
          <w:noProof/>
          <w:lang w:eastAsia="en-US"/>
        </w:rPr>
        <w:lastRenderedPageBreak/>
        <w:drawing>
          <wp:inline distT="0" distB="0" distL="0" distR="0">
            <wp:extent cx="5648325" cy="3267075"/>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648325" cy="3267075"/>
                    </a:xfrm>
                    <a:prstGeom prst="rect">
                      <a:avLst/>
                    </a:prstGeom>
                    <a:noFill/>
                    <a:ln w="9525">
                      <a:noFill/>
                      <a:miter lim="800000"/>
                      <a:headEnd/>
                      <a:tailEnd/>
                    </a:ln>
                  </pic:spPr>
                </pic:pic>
              </a:graphicData>
            </a:graphic>
          </wp:inline>
        </w:drawing>
      </w:r>
    </w:p>
    <w:p w:rsidR="005E037F" w:rsidRDefault="005E037F" w:rsidP="004E3566">
      <w:pPr>
        <w:rPr>
          <w:rFonts w:ascii="Times New Roman" w:hAnsi="Times New Roman"/>
          <w:sz w:val="24"/>
          <w:szCs w:val="24"/>
        </w:rPr>
      </w:pPr>
    </w:p>
    <w:p w:rsidR="004E3566" w:rsidRPr="004E3566" w:rsidRDefault="004E3566" w:rsidP="004E3566">
      <w:pPr>
        <w:rPr>
          <w:rFonts w:ascii="Times New Roman" w:hAnsi="Times New Roman"/>
          <w:sz w:val="24"/>
          <w:szCs w:val="24"/>
        </w:rPr>
      </w:pPr>
      <w:r w:rsidRPr="004E3566">
        <w:rPr>
          <w:rFonts w:ascii="Times New Roman" w:hAnsi="Times New Roman"/>
          <w:sz w:val="24"/>
          <w:szCs w:val="24"/>
        </w:rPr>
        <w:t xml:space="preserve">The two year’s administrative costs by enrollee were averaged to create an administrative unit cost figure of </w:t>
      </w:r>
      <w:r w:rsidRPr="004E3566">
        <w:rPr>
          <w:rFonts w:ascii="Times New Roman" w:hAnsi="Times New Roman"/>
          <w:b/>
          <w:sz w:val="24"/>
          <w:szCs w:val="24"/>
        </w:rPr>
        <w:t>$</w:t>
      </w:r>
      <w:r w:rsidR="000A5531">
        <w:rPr>
          <w:rFonts w:ascii="Times New Roman" w:hAnsi="Times New Roman"/>
          <w:b/>
          <w:sz w:val="24"/>
          <w:szCs w:val="24"/>
        </w:rPr>
        <w:t>10.89</w:t>
      </w:r>
      <w:r w:rsidRPr="004E3566">
        <w:rPr>
          <w:rFonts w:ascii="Times New Roman" w:hAnsi="Times New Roman"/>
          <w:sz w:val="24"/>
          <w:szCs w:val="24"/>
        </w:rPr>
        <w:t xml:space="preserve"> for DOH.  </w:t>
      </w:r>
    </w:p>
    <w:p w:rsidR="004E3566" w:rsidRPr="004E3566" w:rsidRDefault="004E3566" w:rsidP="004E3566">
      <w:pPr>
        <w:rPr>
          <w:rFonts w:ascii="Times New Roman" w:hAnsi="Times New Roman"/>
          <w:b/>
          <w:sz w:val="24"/>
          <w:szCs w:val="24"/>
        </w:rPr>
      </w:pPr>
      <w:r w:rsidRPr="004E3566">
        <w:rPr>
          <w:rFonts w:ascii="Times New Roman" w:hAnsi="Times New Roman"/>
          <w:b/>
          <w:sz w:val="24"/>
          <w:szCs w:val="24"/>
        </w:rPr>
        <w:t>Department of Workforce Services</w:t>
      </w:r>
    </w:p>
    <w:p w:rsidR="004E3566" w:rsidRPr="004E3566" w:rsidRDefault="004E3566" w:rsidP="004E3566">
      <w:pPr>
        <w:rPr>
          <w:rFonts w:ascii="Times New Roman" w:hAnsi="Times New Roman"/>
          <w:sz w:val="24"/>
          <w:szCs w:val="24"/>
        </w:rPr>
      </w:pPr>
      <w:r w:rsidRPr="004E3566">
        <w:rPr>
          <w:rFonts w:ascii="Times New Roman" w:hAnsi="Times New Roman"/>
          <w:sz w:val="24"/>
          <w:szCs w:val="24"/>
        </w:rPr>
        <w:t>The Department of Workforce Services (DWS) performs eligibility determinations for the state of Utah. DWS is expected to face significant costs due to Medicaid expansion.  DWS supplied PCG with data that allowed a unit cost figure to be created.  This data included:</w:t>
      </w:r>
    </w:p>
    <w:p w:rsidR="004E3566" w:rsidRPr="004E3566" w:rsidRDefault="004E3566" w:rsidP="00386411">
      <w:pPr>
        <w:pStyle w:val="ListParagraph"/>
        <w:numPr>
          <w:ilvl w:val="0"/>
          <w:numId w:val="11"/>
        </w:numPr>
        <w:rPr>
          <w:rFonts w:ascii="Times New Roman" w:hAnsi="Times New Roman"/>
          <w:sz w:val="24"/>
          <w:szCs w:val="24"/>
        </w:rPr>
      </w:pPr>
      <w:r w:rsidRPr="004E3566">
        <w:rPr>
          <w:rFonts w:ascii="Times New Roman" w:hAnsi="Times New Roman"/>
          <w:sz w:val="24"/>
          <w:szCs w:val="24"/>
        </w:rPr>
        <w:t>Total annual staffing costs</w:t>
      </w:r>
    </w:p>
    <w:p w:rsidR="004E3566" w:rsidRPr="004E3566" w:rsidRDefault="004E3566" w:rsidP="00386411">
      <w:pPr>
        <w:pStyle w:val="ListParagraph"/>
        <w:numPr>
          <w:ilvl w:val="0"/>
          <w:numId w:val="11"/>
        </w:numPr>
        <w:rPr>
          <w:rFonts w:ascii="Times New Roman" w:hAnsi="Times New Roman"/>
          <w:sz w:val="24"/>
          <w:szCs w:val="24"/>
        </w:rPr>
      </w:pPr>
      <w:r w:rsidRPr="004E3566">
        <w:rPr>
          <w:rFonts w:ascii="Times New Roman" w:hAnsi="Times New Roman"/>
          <w:sz w:val="24"/>
          <w:szCs w:val="24"/>
        </w:rPr>
        <w:t>Methodology for converting individuals to cases</w:t>
      </w:r>
    </w:p>
    <w:p w:rsidR="004E3566" w:rsidRPr="004E3566" w:rsidRDefault="004E3566" w:rsidP="00386411">
      <w:pPr>
        <w:pStyle w:val="ListParagraph"/>
        <w:numPr>
          <w:ilvl w:val="0"/>
          <w:numId w:val="11"/>
        </w:numPr>
        <w:rPr>
          <w:rFonts w:ascii="Times New Roman" w:hAnsi="Times New Roman"/>
          <w:sz w:val="24"/>
          <w:szCs w:val="24"/>
        </w:rPr>
      </w:pPr>
      <w:r w:rsidRPr="004E3566">
        <w:rPr>
          <w:rFonts w:ascii="Times New Roman" w:hAnsi="Times New Roman"/>
          <w:sz w:val="24"/>
          <w:szCs w:val="24"/>
        </w:rPr>
        <w:t>Estimated staffing levels on a case basis</w:t>
      </w:r>
    </w:p>
    <w:p w:rsidR="004E3566" w:rsidRPr="004E3566" w:rsidRDefault="004E3566" w:rsidP="004E3566">
      <w:pPr>
        <w:rPr>
          <w:rFonts w:ascii="Times New Roman" w:hAnsi="Times New Roman"/>
          <w:sz w:val="24"/>
          <w:szCs w:val="24"/>
        </w:rPr>
      </w:pPr>
      <w:r w:rsidRPr="004E3566">
        <w:rPr>
          <w:rFonts w:ascii="Times New Roman" w:hAnsi="Times New Roman"/>
          <w:sz w:val="24"/>
          <w:szCs w:val="24"/>
        </w:rPr>
        <w:t>PCG created a model using this data to create the final unit cost estimate.  For illustrative purposes, an enrollment of 50,000 individuals was used.  The below chart demonstrates the data used in the model:</w:t>
      </w:r>
    </w:p>
    <w:p w:rsidR="004E3566" w:rsidRDefault="00377A67" w:rsidP="004E3566">
      <w:pPr>
        <w:jc w:val="center"/>
      </w:pPr>
      <w:r w:rsidRPr="00377A67">
        <w:rPr>
          <w:noProof/>
          <w:lang w:eastAsia="en-US"/>
        </w:rPr>
        <w:lastRenderedPageBreak/>
        <w:drawing>
          <wp:inline distT="0" distB="0" distL="0" distR="0">
            <wp:extent cx="3372485" cy="2766695"/>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3372485" cy="2766695"/>
                    </a:xfrm>
                    <a:prstGeom prst="rect">
                      <a:avLst/>
                    </a:prstGeom>
                    <a:noFill/>
                    <a:ln w="9525">
                      <a:noFill/>
                      <a:miter lim="800000"/>
                      <a:headEnd/>
                      <a:tailEnd/>
                    </a:ln>
                  </pic:spPr>
                </pic:pic>
              </a:graphicData>
            </a:graphic>
          </wp:inline>
        </w:drawing>
      </w:r>
    </w:p>
    <w:p w:rsidR="005A49A0" w:rsidRDefault="005A49A0" w:rsidP="004E3566">
      <w:pPr>
        <w:jc w:val="center"/>
      </w:pPr>
    </w:p>
    <w:p w:rsidR="005E037F" w:rsidRDefault="005E037F" w:rsidP="004E3566">
      <w:pPr>
        <w:jc w:val="center"/>
      </w:pPr>
      <w:r w:rsidRPr="005E037F">
        <w:rPr>
          <w:noProof/>
          <w:lang w:eastAsia="en-US"/>
        </w:rPr>
        <w:drawing>
          <wp:inline distT="0" distB="0" distL="0" distR="0">
            <wp:extent cx="3041015" cy="775970"/>
            <wp:effectExtent l="19050" t="0" r="6985"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3041015" cy="775970"/>
                    </a:xfrm>
                    <a:prstGeom prst="rect">
                      <a:avLst/>
                    </a:prstGeom>
                    <a:noFill/>
                    <a:ln w="9525">
                      <a:noFill/>
                      <a:miter lim="800000"/>
                      <a:headEnd/>
                      <a:tailEnd/>
                    </a:ln>
                  </pic:spPr>
                </pic:pic>
              </a:graphicData>
            </a:graphic>
          </wp:inline>
        </w:drawing>
      </w:r>
    </w:p>
    <w:p w:rsidR="004E3566" w:rsidRPr="004E3566" w:rsidRDefault="004E3566" w:rsidP="004E3566">
      <w:pPr>
        <w:rPr>
          <w:rFonts w:ascii="Times New Roman" w:hAnsi="Times New Roman"/>
          <w:sz w:val="24"/>
          <w:szCs w:val="24"/>
        </w:rPr>
      </w:pPr>
      <w:r w:rsidRPr="004E3566">
        <w:rPr>
          <w:rFonts w:ascii="Times New Roman" w:hAnsi="Times New Roman"/>
          <w:sz w:val="24"/>
          <w:szCs w:val="24"/>
        </w:rPr>
        <w:t xml:space="preserve">This creates a unit cost estimate of </w:t>
      </w:r>
      <w:r w:rsidRPr="004E3566">
        <w:rPr>
          <w:rFonts w:ascii="Times New Roman" w:hAnsi="Times New Roman"/>
          <w:b/>
          <w:sz w:val="24"/>
          <w:szCs w:val="24"/>
        </w:rPr>
        <w:t>$80.15</w:t>
      </w:r>
      <w:r w:rsidRPr="004E3566">
        <w:rPr>
          <w:rFonts w:ascii="Times New Roman" w:hAnsi="Times New Roman"/>
          <w:sz w:val="24"/>
          <w:szCs w:val="24"/>
        </w:rPr>
        <w:t xml:space="preserve"> per enrollee.</w:t>
      </w:r>
    </w:p>
    <w:p w:rsidR="004E3566" w:rsidRPr="004E3566" w:rsidRDefault="004E3566" w:rsidP="004E3566">
      <w:pPr>
        <w:rPr>
          <w:rFonts w:ascii="Times New Roman" w:hAnsi="Times New Roman"/>
          <w:b/>
          <w:sz w:val="24"/>
          <w:szCs w:val="24"/>
        </w:rPr>
      </w:pPr>
      <w:r w:rsidRPr="004E3566">
        <w:rPr>
          <w:rFonts w:ascii="Times New Roman" w:hAnsi="Times New Roman"/>
          <w:b/>
          <w:sz w:val="24"/>
          <w:szCs w:val="24"/>
        </w:rPr>
        <w:t>Department of Human Services</w:t>
      </w:r>
    </w:p>
    <w:p w:rsidR="004E3566" w:rsidRPr="004E3566" w:rsidRDefault="004E3566" w:rsidP="004E3566">
      <w:pPr>
        <w:rPr>
          <w:rFonts w:ascii="Times New Roman" w:hAnsi="Times New Roman"/>
          <w:sz w:val="24"/>
          <w:szCs w:val="24"/>
        </w:rPr>
      </w:pPr>
      <w:r w:rsidRPr="004E3566">
        <w:rPr>
          <w:rFonts w:ascii="Times New Roman" w:hAnsi="Times New Roman"/>
          <w:sz w:val="24"/>
          <w:szCs w:val="24"/>
        </w:rPr>
        <w:t xml:space="preserve">The DHS provided PCG with </w:t>
      </w:r>
      <w:r w:rsidR="00EB5227">
        <w:rPr>
          <w:rFonts w:ascii="Times New Roman" w:hAnsi="Times New Roman"/>
          <w:sz w:val="24"/>
          <w:szCs w:val="24"/>
        </w:rPr>
        <w:t xml:space="preserve">an </w:t>
      </w:r>
      <w:r w:rsidRPr="004E3566">
        <w:rPr>
          <w:rFonts w:ascii="Times New Roman" w:hAnsi="Times New Roman"/>
          <w:sz w:val="24"/>
          <w:szCs w:val="24"/>
        </w:rPr>
        <w:t xml:space="preserve">estimated unit costing based on a projected increase of 111,400 total Medicaid participants (35,500 being children) from current state estimates.  The DHS then estimated </w:t>
      </w:r>
      <w:r w:rsidR="00EB5227">
        <w:rPr>
          <w:rFonts w:ascii="Times New Roman" w:hAnsi="Times New Roman"/>
          <w:sz w:val="24"/>
          <w:szCs w:val="24"/>
        </w:rPr>
        <w:t xml:space="preserve">an </w:t>
      </w:r>
      <w:r w:rsidRPr="004E3566">
        <w:rPr>
          <w:rFonts w:ascii="Times New Roman" w:hAnsi="Times New Roman"/>
          <w:sz w:val="24"/>
          <w:szCs w:val="24"/>
        </w:rPr>
        <w:t xml:space="preserve">increase of 22,200 child support cases.  In order to handle that caseload increase DHS anticipates requiring additional total funding of $1,214,800 ($413,000 of which would come from the state general fund and the remainder would be federal matching funds) to cover the costs.  These figures were used to create a unit cost estimate of </w:t>
      </w:r>
      <w:r w:rsidRPr="004E3566">
        <w:rPr>
          <w:rFonts w:ascii="Times New Roman" w:hAnsi="Times New Roman"/>
          <w:b/>
          <w:sz w:val="24"/>
          <w:szCs w:val="24"/>
        </w:rPr>
        <w:t>$11.63</w:t>
      </w:r>
      <w:r w:rsidRPr="004E3566">
        <w:rPr>
          <w:rFonts w:ascii="Times New Roman" w:hAnsi="Times New Roman"/>
          <w:sz w:val="24"/>
          <w:szCs w:val="24"/>
        </w:rPr>
        <w:t>.  This unit cost is different from DOH and DWS because it only applies to the juvenile population, and will be used in the PCG-MESM as such.</w:t>
      </w:r>
    </w:p>
    <w:p w:rsidR="004E3566" w:rsidRDefault="004E3566" w:rsidP="004E3566"/>
    <w:p w:rsidR="004E3566" w:rsidRDefault="004E3566" w:rsidP="004E3566">
      <w:pPr>
        <w:jc w:val="center"/>
      </w:pPr>
      <w:r w:rsidRPr="009D7DAE">
        <w:rPr>
          <w:noProof/>
          <w:lang w:eastAsia="en-US"/>
        </w:rPr>
        <w:lastRenderedPageBreak/>
        <w:drawing>
          <wp:inline distT="0" distB="0" distL="0" distR="0">
            <wp:extent cx="3286125" cy="17526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286125" cy="1752600"/>
                    </a:xfrm>
                    <a:prstGeom prst="rect">
                      <a:avLst/>
                    </a:prstGeom>
                    <a:noFill/>
                    <a:ln w="9525">
                      <a:noFill/>
                      <a:miter lim="800000"/>
                      <a:headEnd/>
                      <a:tailEnd/>
                    </a:ln>
                  </pic:spPr>
                </pic:pic>
              </a:graphicData>
            </a:graphic>
          </wp:inline>
        </w:drawing>
      </w:r>
    </w:p>
    <w:p w:rsidR="00C80065" w:rsidRPr="00181A60" w:rsidRDefault="00C80065" w:rsidP="00C80065">
      <w:pPr>
        <w:spacing w:after="240"/>
        <w:rPr>
          <w:rFonts w:ascii="Times New Roman" w:hAnsi="Times New Roman"/>
          <w:sz w:val="24"/>
          <w:szCs w:val="24"/>
        </w:rPr>
      </w:pPr>
    </w:p>
    <w:p w:rsidR="00C80065" w:rsidRDefault="00C80065" w:rsidP="00C80065">
      <w:pPr>
        <w:spacing w:after="240"/>
        <w:rPr>
          <w:rFonts w:ascii="Times New Roman" w:hAnsi="Times New Roman"/>
          <w:b/>
          <w:i/>
          <w:sz w:val="24"/>
          <w:szCs w:val="24"/>
        </w:rPr>
      </w:pPr>
      <w:r>
        <w:rPr>
          <w:rFonts w:ascii="Times New Roman" w:hAnsi="Times New Roman"/>
          <w:b/>
          <w:i/>
          <w:sz w:val="24"/>
          <w:szCs w:val="24"/>
        </w:rPr>
        <w:t>Data Output</w:t>
      </w:r>
    </w:p>
    <w:p w:rsidR="004E3566" w:rsidRDefault="004E3566" w:rsidP="00C80065">
      <w:pPr>
        <w:spacing w:after="240"/>
        <w:rPr>
          <w:rFonts w:ascii="Times New Roman" w:hAnsi="Times New Roman"/>
          <w:sz w:val="24"/>
          <w:szCs w:val="24"/>
        </w:rPr>
      </w:pPr>
      <w:r>
        <w:rPr>
          <w:rFonts w:ascii="Times New Roman" w:hAnsi="Times New Roman"/>
          <w:sz w:val="24"/>
          <w:szCs w:val="24"/>
        </w:rPr>
        <w:t xml:space="preserve">The following chart summarizes the findings for each Department analyzed for this report.  The numbers below </w:t>
      </w:r>
      <w:r w:rsidR="00AA2AA8">
        <w:rPr>
          <w:rFonts w:ascii="Times New Roman" w:hAnsi="Times New Roman"/>
          <w:sz w:val="24"/>
          <w:szCs w:val="24"/>
        </w:rPr>
        <w:t xml:space="preserve">were trended to the </w:t>
      </w:r>
      <w:r w:rsidR="00206147">
        <w:rPr>
          <w:rFonts w:ascii="Times New Roman" w:hAnsi="Times New Roman"/>
          <w:sz w:val="24"/>
          <w:szCs w:val="24"/>
        </w:rPr>
        <w:t>year 2014</w:t>
      </w:r>
      <w:r w:rsidR="00877F76">
        <w:rPr>
          <w:rFonts w:ascii="Times New Roman" w:hAnsi="Times New Roman"/>
          <w:sz w:val="24"/>
          <w:szCs w:val="24"/>
        </w:rPr>
        <w:t xml:space="preserve"> (shown below)</w:t>
      </w:r>
      <w:r w:rsidR="00AA2AA8">
        <w:rPr>
          <w:rFonts w:ascii="Times New Roman" w:hAnsi="Times New Roman"/>
          <w:sz w:val="24"/>
          <w:szCs w:val="24"/>
        </w:rPr>
        <w:t xml:space="preserve"> and </w:t>
      </w:r>
      <w:r>
        <w:rPr>
          <w:rFonts w:ascii="Times New Roman" w:hAnsi="Times New Roman"/>
          <w:sz w:val="24"/>
          <w:szCs w:val="24"/>
        </w:rPr>
        <w:t xml:space="preserve">applied to </w:t>
      </w:r>
      <w:r w:rsidR="002C5945">
        <w:rPr>
          <w:rFonts w:ascii="Times New Roman" w:hAnsi="Times New Roman"/>
          <w:sz w:val="24"/>
          <w:szCs w:val="24"/>
        </w:rPr>
        <w:t xml:space="preserve">all future </w:t>
      </w:r>
      <w:r>
        <w:rPr>
          <w:rFonts w:ascii="Times New Roman" w:hAnsi="Times New Roman"/>
          <w:sz w:val="24"/>
          <w:szCs w:val="24"/>
        </w:rPr>
        <w:t>caseload projection</w:t>
      </w:r>
      <w:r w:rsidR="00877F76">
        <w:rPr>
          <w:rFonts w:ascii="Times New Roman" w:hAnsi="Times New Roman"/>
          <w:sz w:val="24"/>
          <w:szCs w:val="24"/>
        </w:rPr>
        <w:t>s</w:t>
      </w:r>
      <w:r>
        <w:rPr>
          <w:rFonts w:ascii="Times New Roman" w:hAnsi="Times New Roman"/>
          <w:sz w:val="24"/>
          <w:szCs w:val="24"/>
        </w:rPr>
        <w:t xml:space="preserve"> in order to model the potential costs to the </w:t>
      </w:r>
      <w:r w:rsidR="00877F76">
        <w:rPr>
          <w:rFonts w:ascii="Times New Roman" w:hAnsi="Times New Roman"/>
          <w:sz w:val="24"/>
          <w:szCs w:val="24"/>
        </w:rPr>
        <w:t xml:space="preserve">state </w:t>
      </w:r>
      <w:r>
        <w:rPr>
          <w:rFonts w:ascii="Times New Roman" w:hAnsi="Times New Roman"/>
          <w:sz w:val="24"/>
          <w:szCs w:val="24"/>
        </w:rPr>
        <w:t>for Medicaid expansion.</w:t>
      </w:r>
    </w:p>
    <w:p w:rsidR="00656C66" w:rsidRDefault="00215C25" w:rsidP="004E3566">
      <w:pPr>
        <w:spacing w:after="0" w:line="240" w:lineRule="auto"/>
        <w:jc w:val="center"/>
        <w:rPr>
          <w:rFonts w:ascii="Times New Roman" w:hAnsi="Times New Roman"/>
          <w:sz w:val="24"/>
          <w:szCs w:val="24"/>
        </w:rPr>
      </w:pPr>
      <w:r w:rsidRPr="00215C25">
        <w:rPr>
          <w:noProof/>
          <w:szCs w:val="24"/>
          <w:lang w:eastAsia="en-US"/>
        </w:rPr>
        <w:drawing>
          <wp:inline distT="0" distB="0" distL="0" distR="0">
            <wp:extent cx="1752600" cy="1847850"/>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1752600" cy="1847850"/>
                    </a:xfrm>
                    <a:prstGeom prst="rect">
                      <a:avLst/>
                    </a:prstGeom>
                    <a:noFill/>
                    <a:ln w="9525">
                      <a:noFill/>
                      <a:miter lim="800000"/>
                      <a:headEnd/>
                      <a:tailEnd/>
                    </a:ln>
                  </pic:spPr>
                </pic:pic>
              </a:graphicData>
            </a:graphic>
          </wp:inline>
        </w:drawing>
      </w:r>
    </w:p>
    <w:p w:rsidR="00656C66" w:rsidRDefault="00656C66" w:rsidP="004E3566">
      <w:pPr>
        <w:spacing w:after="0" w:line="240" w:lineRule="auto"/>
        <w:jc w:val="center"/>
        <w:rPr>
          <w:rFonts w:ascii="Times New Roman" w:hAnsi="Times New Roman"/>
          <w:sz w:val="24"/>
          <w:szCs w:val="24"/>
        </w:rPr>
      </w:pPr>
    </w:p>
    <w:p w:rsidR="00C80065" w:rsidRDefault="00656C66" w:rsidP="004E3566">
      <w:pPr>
        <w:spacing w:after="0" w:line="240" w:lineRule="auto"/>
        <w:jc w:val="center"/>
        <w:rPr>
          <w:rFonts w:ascii="Times New Roman" w:hAnsi="Times New Roman"/>
          <w:sz w:val="24"/>
          <w:szCs w:val="24"/>
        </w:rPr>
      </w:pPr>
      <w:r w:rsidRPr="00656C66">
        <w:rPr>
          <w:noProof/>
          <w:szCs w:val="24"/>
          <w:lang w:eastAsia="en-US"/>
        </w:rPr>
        <w:drawing>
          <wp:inline distT="0" distB="0" distL="0" distR="0">
            <wp:extent cx="1752600" cy="1905000"/>
            <wp:effectExtent l="1905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srcRect/>
                    <a:stretch>
                      <a:fillRect/>
                    </a:stretch>
                  </pic:blipFill>
                  <pic:spPr bwMode="auto">
                    <a:xfrm>
                      <a:off x="0" y="0"/>
                      <a:ext cx="1752600" cy="1905000"/>
                    </a:xfrm>
                    <a:prstGeom prst="rect">
                      <a:avLst/>
                    </a:prstGeom>
                    <a:noFill/>
                    <a:ln w="9525">
                      <a:noFill/>
                      <a:miter lim="800000"/>
                      <a:headEnd/>
                      <a:tailEnd/>
                    </a:ln>
                  </pic:spPr>
                </pic:pic>
              </a:graphicData>
            </a:graphic>
          </wp:inline>
        </w:drawing>
      </w:r>
      <w:r w:rsidR="00C80065">
        <w:rPr>
          <w:rFonts w:ascii="Times New Roman" w:hAnsi="Times New Roman"/>
          <w:sz w:val="24"/>
          <w:szCs w:val="24"/>
        </w:rPr>
        <w:br w:type="page"/>
      </w:r>
    </w:p>
    <w:p w:rsidR="00C80065" w:rsidRPr="00181A60" w:rsidRDefault="00C80065" w:rsidP="00C80065">
      <w:pPr>
        <w:spacing w:after="240"/>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Uncompensated Care Savings</w:t>
      </w:r>
    </w:p>
    <w:p w:rsidR="001F3A12" w:rsidRPr="00B21982" w:rsidRDefault="00515083" w:rsidP="001F3A12">
      <w:pPr>
        <w:rPr>
          <w:rFonts w:ascii="Times New Roman" w:hAnsi="Times New Roman"/>
          <w:sz w:val="24"/>
          <w:szCs w:val="24"/>
        </w:rPr>
      </w:pPr>
      <w:r>
        <w:rPr>
          <w:rFonts w:ascii="Times New Roman" w:hAnsi="Times New Roman"/>
          <w:sz w:val="24"/>
          <w:szCs w:val="24"/>
        </w:rPr>
        <w:t>This section e</w:t>
      </w:r>
      <w:r w:rsidR="001F3A12" w:rsidRPr="00B21982">
        <w:rPr>
          <w:rFonts w:ascii="Times New Roman" w:hAnsi="Times New Roman"/>
          <w:sz w:val="24"/>
          <w:szCs w:val="24"/>
        </w:rPr>
        <w:t>stimate</w:t>
      </w:r>
      <w:r>
        <w:rPr>
          <w:rFonts w:ascii="Times New Roman" w:hAnsi="Times New Roman"/>
          <w:sz w:val="24"/>
          <w:szCs w:val="24"/>
        </w:rPr>
        <w:t>s</w:t>
      </w:r>
      <w:r w:rsidR="001F3A12" w:rsidRPr="00B21982">
        <w:rPr>
          <w:rFonts w:ascii="Times New Roman" w:hAnsi="Times New Roman"/>
          <w:sz w:val="24"/>
          <w:szCs w:val="24"/>
        </w:rPr>
        <w:t xml:space="preserve"> the amount of uncompensated care provided in Utah and how that care is distributed among health providers</w:t>
      </w:r>
      <w:r>
        <w:rPr>
          <w:rFonts w:ascii="Times New Roman" w:hAnsi="Times New Roman"/>
          <w:sz w:val="24"/>
          <w:szCs w:val="24"/>
        </w:rPr>
        <w:t xml:space="preserve">. </w:t>
      </w:r>
      <w:r w:rsidR="001F3A12" w:rsidRPr="00B21982">
        <w:rPr>
          <w:rFonts w:ascii="Times New Roman" w:hAnsi="Times New Roman"/>
          <w:sz w:val="24"/>
          <w:szCs w:val="24"/>
        </w:rPr>
        <w:t xml:space="preserve"> </w:t>
      </w:r>
      <w:r>
        <w:rPr>
          <w:rFonts w:ascii="Times New Roman" w:hAnsi="Times New Roman"/>
          <w:sz w:val="24"/>
          <w:szCs w:val="24"/>
        </w:rPr>
        <w:t>T</w:t>
      </w:r>
      <w:r w:rsidR="001F3A12" w:rsidRPr="00B21982">
        <w:rPr>
          <w:rFonts w:ascii="Times New Roman" w:hAnsi="Times New Roman"/>
          <w:sz w:val="24"/>
          <w:szCs w:val="24"/>
        </w:rPr>
        <w:t xml:space="preserve">he </w:t>
      </w:r>
      <w:proofErr w:type="gramStart"/>
      <w:r w:rsidR="001F3A12" w:rsidRPr="00B21982">
        <w:rPr>
          <w:rFonts w:ascii="Times New Roman" w:hAnsi="Times New Roman"/>
          <w:sz w:val="24"/>
          <w:szCs w:val="24"/>
        </w:rPr>
        <w:t>share</w:t>
      </w:r>
      <w:proofErr w:type="gramEnd"/>
      <w:r w:rsidR="001F3A12" w:rsidRPr="00B21982">
        <w:rPr>
          <w:rFonts w:ascii="Times New Roman" w:hAnsi="Times New Roman"/>
          <w:sz w:val="24"/>
          <w:szCs w:val="24"/>
        </w:rPr>
        <w:t xml:space="preserve"> of the uncompensated care costs that are attributable to individuals that are estimated to gain coverage under the ACA</w:t>
      </w:r>
      <w:r>
        <w:rPr>
          <w:rFonts w:ascii="Times New Roman" w:hAnsi="Times New Roman"/>
          <w:sz w:val="24"/>
          <w:szCs w:val="24"/>
        </w:rPr>
        <w:t xml:space="preserve"> are also estimated</w:t>
      </w:r>
      <w:r w:rsidR="001F3A12" w:rsidRPr="00B21982">
        <w:rPr>
          <w:rFonts w:ascii="Times New Roman" w:hAnsi="Times New Roman"/>
          <w:sz w:val="24"/>
          <w:szCs w:val="24"/>
        </w:rPr>
        <w:t xml:space="preserve">. </w:t>
      </w:r>
    </w:p>
    <w:p w:rsidR="001F3A12" w:rsidRDefault="001F3A12" w:rsidP="001F3A12">
      <w:pPr>
        <w:spacing w:after="240"/>
        <w:rPr>
          <w:rFonts w:ascii="Times New Roman" w:hAnsi="Times New Roman"/>
          <w:b/>
          <w:i/>
          <w:sz w:val="24"/>
        </w:rPr>
      </w:pPr>
      <w:r>
        <w:rPr>
          <w:rFonts w:ascii="Times New Roman" w:hAnsi="Times New Roman"/>
          <w:b/>
          <w:i/>
          <w:sz w:val="24"/>
        </w:rPr>
        <w:t>Data and Methodology</w:t>
      </w:r>
    </w:p>
    <w:p w:rsidR="001F3A12" w:rsidRPr="00B21982" w:rsidRDefault="001F3A12" w:rsidP="001F3A12">
      <w:pPr>
        <w:rPr>
          <w:rFonts w:ascii="Times New Roman" w:hAnsi="Times New Roman"/>
          <w:sz w:val="24"/>
          <w:szCs w:val="24"/>
        </w:rPr>
      </w:pPr>
      <w:r w:rsidRPr="00B21982">
        <w:rPr>
          <w:rFonts w:ascii="Times New Roman" w:hAnsi="Times New Roman"/>
          <w:sz w:val="24"/>
          <w:szCs w:val="24"/>
        </w:rPr>
        <w:t>The American Hospital Association provides estimates of uncompensated care figures from the AHA’s Annual Survey of Hospitals.</w:t>
      </w:r>
      <w:r w:rsidRPr="00B21982">
        <w:rPr>
          <w:rStyle w:val="FootnoteReference"/>
          <w:rFonts w:ascii="Times New Roman" w:hAnsi="Times New Roman"/>
          <w:sz w:val="24"/>
          <w:szCs w:val="24"/>
        </w:rPr>
        <w:footnoteReference w:id="7"/>
      </w:r>
      <w:r w:rsidRPr="00B21982">
        <w:rPr>
          <w:rFonts w:ascii="Times New Roman" w:hAnsi="Times New Roman"/>
          <w:sz w:val="24"/>
          <w:szCs w:val="24"/>
        </w:rPr>
        <w:t xml:space="preserve">  This survey focuses on direct unreimbursed hospital services and claims and does not account for many of the other services and programs that hospitals or other providers provide to meet identified community needs.  Uncompensated care for a hospital is the sum of the bad debt and charity care that is provided.  Charity care is defined as care for which a hospital never expects to obtain reimbursement from the patient.  Bad debt consists of services for which providers anticipated but did not receive payment.  Uncompensated care excludes other underfunded costs of care including underpayment from Medicaid and Medicare. Uncompensated care costs must be collected from several different providers including hospitals and local community health centers in addition to Disproportionate Share Hospital (DSH) payments.  </w:t>
      </w:r>
    </w:p>
    <w:p w:rsidR="001F3A12" w:rsidRDefault="001F3A12" w:rsidP="001F3A12">
      <w:pPr>
        <w:spacing w:after="240"/>
      </w:pPr>
      <w:r w:rsidRPr="00CE3804">
        <w:rPr>
          <w:rFonts w:ascii="Times New Roman" w:hAnsi="Times New Roman"/>
          <w:b/>
          <w:i/>
          <w:sz w:val="24"/>
        </w:rPr>
        <w:t>Hospital Uncompensated Care</w:t>
      </w:r>
    </w:p>
    <w:p w:rsidR="001F3A12" w:rsidRPr="00B21982" w:rsidRDefault="001F3A12" w:rsidP="001F3A12">
      <w:pPr>
        <w:rPr>
          <w:rFonts w:ascii="Times New Roman" w:hAnsi="Times New Roman"/>
          <w:sz w:val="24"/>
          <w:szCs w:val="24"/>
        </w:rPr>
      </w:pPr>
      <w:r w:rsidRPr="00B21982">
        <w:rPr>
          <w:rFonts w:ascii="Times New Roman" w:hAnsi="Times New Roman"/>
          <w:sz w:val="24"/>
          <w:szCs w:val="24"/>
        </w:rPr>
        <w:t xml:space="preserve">With assistance from the Utah Hospital Association, PCG was able to estimate uncompensated care costs as seen in the table below.  These figures are representative of hospitals and other hospital owned entities, but not of physician offices or other independently owned surgical centers.  </w:t>
      </w:r>
    </w:p>
    <w:p w:rsidR="001F3A12" w:rsidRDefault="00377A67" w:rsidP="006210A5">
      <w:pPr>
        <w:jc w:val="center"/>
      </w:pPr>
      <w:r w:rsidRPr="00377A67">
        <w:rPr>
          <w:noProof/>
          <w:lang w:eastAsia="en-US"/>
        </w:rPr>
        <w:drawing>
          <wp:inline distT="0" distB="0" distL="0" distR="0">
            <wp:extent cx="3194685" cy="974090"/>
            <wp:effectExtent l="19050" t="0" r="571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3194685" cy="974090"/>
                    </a:xfrm>
                    <a:prstGeom prst="rect">
                      <a:avLst/>
                    </a:prstGeom>
                    <a:noFill/>
                    <a:ln w="9525">
                      <a:noFill/>
                      <a:miter lim="800000"/>
                      <a:headEnd/>
                      <a:tailEnd/>
                    </a:ln>
                  </pic:spPr>
                </pic:pic>
              </a:graphicData>
            </a:graphic>
          </wp:inline>
        </w:drawing>
      </w:r>
    </w:p>
    <w:p w:rsidR="001F3A12" w:rsidRDefault="001F3A12" w:rsidP="001F3A12">
      <w:pPr>
        <w:spacing w:after="240"/>
        <w:rPr>
          <w:rFonts w:ascii="Times New Roman" w:hAnsi="Times New Roman"/>
          <w:b/>
          <w:i/>
          <w:sz w:val="24"/>
        </w:rPr>
      </w:pPr>
    </w:p>
    <w:p w:rsidR="00377A67" w:rsidRDefault="00377A67" w:rsidP="001F3A12">
      <w:pPr>
        <w:spacing w:after="240"/>
        <w:rPr>
          <w:rFonts w:ascii="Times New Roman" w:hAnsi="Times New Roman"/>
          <w:b/>
          <w:i/>
          <w:sz w:val="24"/>
        </w:rPr>
      </w:pPr>
    </w:p>
    <w:p w:rsidR="0064497E" w:rsidRDefault="006210A5" w:rsidP="006210A5">
      <w:pPr>
        <w:tabs>
          <w:tab w:val="left" w:pos="6045"/>
        </w:tabs>
        <w:spacing w:after="240"/>
        <w:rPr>
          <w:rFonts w:ascii="Times New Roman" w:hAnsi="Times New Roman"/>
          <w:b/>
          <w:i/>
          <w:sz w:val="24"/>
        </w:rPr>
      </w:pPr>
      <w:r>
        <w:rPr>
          <w:rFonts w:ascii="Times New Roman" w:hAnsi="Times New Roman"/>
          <w:b/>
          <w:i/>
          <w:sz w:val="24"/>
        </w:rPr>
        <w:tab/>
      </w:r>
    </w:p>
    <w:p w:rsidR="001F3A12" w:rsidRPr="00CE3804" w:rsidRDefault="001F3A12" w:rsidP="001F3A12">
      <w:pPr>
        <w:spacing w:after="240"/>
        <w:rPr>
          <w:rFonts w:ascii="Times New Roman" w:hAnsi="Times New Roman"/>
          <w:b/>
          <w:i/>
          <w:sz w:val="24"/>
        </w:rPr>
      </w:pPr>
      <w:r w:rsidRPr="00CE3804">
        <w:rPr>
          <w:rFonts w:ascii="Times New Roman" w:hAnsi="Times New Roman"/>
          <w:b/>
          <w:i/>
          <w:sz w:val="24"/>
        </w:rPr>
        <w:lastRenderedPageBreak/>
        <w:t>Community Health Centers</w:t>
      </w:r>
    </w:p>
    <w:p w:rsidR="001F3A12" w:rsidRPr="00B21982" w:rsidRDefault="001F3A12" w:rsidP="001F3A12">
      <w:pPr>
        <w:rPr>
          <w:rFonts w:ascii="Times New Roman" w:hAnsi="Times New Roman"/>
          <w:sz w:val="24"/>
          <w:szCs w:val="24"/>
        </w:rPr>
      </w:pPr>
      <w:r w:rsidRPr="00B21982">
        <w:rPr>
          <w:rFonts w:ascii="Times New Roman" w:hAnsi="Times New Roman"/>
          <w:sz w:val="24"/>
          <w:szCs w:val="24"/>
        </w:rPr>
        <w:t>Uncompensated care data for Utah’s Federally Qualified Health Centers (FQHCs) was collected using the Uniform Data System (UDS) provided by the Health Resources and Services Administration (HRSA) which tracks a variety of information, including patient demographics, services provided, staffing, clinical indicators, utilization rates, costs, and revenues.</w:t>
      </w:r>
      <w:r w:rsidRPr="00B21982">
        <w:rPr>
          <w:rStyle w:val="FootnoteReference"/>
          <w:rFonts w:ascii="Times New Roman" w:hAnsi="Times New Roman"/>
          <w:sz w:val="24"/>
          <w:szCs w:val="24"/>
        </w:rPr>
        <w:footnoteReference w:id="8"/>
      </w:r>
      <w:r w:rsidRPr="00B21982">
        <w:rPr>
          <w:rFonts w:ascii="Times New Roman" w:hAnsi="Times New Roman"/>
          <w:sz w:val="24"/>
          <w:szCs w:val="24"/>
        </w:rPr>
        <w:t xml:space="preserve"> Utah’s FQHCs are required to annually report data on utilization rates, costs, and revenues.  All of Utah’s 11 FQHCs are represented including Bear Lake Community Health Center, Carbon Medical Services Association, Inc., Community Health Centers, Inc.</w:t>
      </w:r>
      <w:r w:rsidR="00515083">
        <w:rPr>
          <w:rFonts w:ascii="Times New Roman" w:hAnsi="Times New Roman"/>
          <w:sz w:val="24"/>
          <w:szCs w:val="24"/>
        </w:rPr>
        <w:t>,</w:t>
      </w:r>
      <w:r w:rsidRPr="00B21982">
        <w:rPr>
          <w:rFonts w:ascii="Times New Roman" w:hAnsi="Times New Roman"/>
          <w:sz w:val="24"/>
          <w:szCs w:val="24"/>
        </w:rPr>
        <w:t xml:space="preserve"> Enterprise Valley Medical Clinic, Inc., Green River Medical Center, Midtown Community Health Center, </w:t>
      </w:r>
      <w:proofErr w:type="spellStart"/>
      <w:r w:rsidRPr="00B21982">
        <w:rPr>
          <w:rFonts w:ascii="Times New Roman" w:hAnsi="Times New Roman"/>
          <w:sz w:val="24"/>
          <w:szCs w:val="24"/>
        </w:rPr>
        <w:t>Mountainlands</w:t>
      </w:r>
      <w:proofErr w:type="spellEnd"/>
      <w:r w:rsidRPr="00B21982">
        <w:rPr>
          <w:rFonts w:ascii="Times New Roman" w:hAnsi="Times New Roman"/>
          <w:sz w:val="24"/>
          <w:szCs w:val="24"/>
        </w:rPr>
        <w:t xml:space="preserve"> Community Health Center, Southwest Utah Community Health Center, Utah Navajo Health System, Inc., Wasatch Homeless Health Care/4</w:t>
      </w:r>
      <w:r w:rsidRPr="00B21982">
        <w:rPr>
          <w:rFonts w:ascii="Times New Roman" w:hAnsi="Times New Roman"/>
          <w:sz w:val="24"/>
          <w:szCs w:val="24"/>
          <w:vertAlign w:val="superscript"/>
        </w:rPr>
        <w:t>th</w:t>
      </w:r>
      <w:r w:rsidRPr="00B21982">
        <w:rPr>
          <w:rFonts w:ascii="Times New Roman" w:hAnsi="Times New Roman"/>
          <w:sz w:val="24"/>
          <w:szCs w:val="24"/>
        </w:rPr>
        <w:t xml:space="preserve"> Street Clinic, and Wayne Community Health Centers, Inc.  These data are used to ensure compliance with legislative and regulatory requirements.  These eleven FQHC grantees reported </w:t>
      </w:r>
      <w:r w:rsidRPr="00B21982">
        <w:rPr>
          <w:rFonts w:ascii="Times New Roman" w:hAnsi="Times New Roman"/>
          <w:b/>
          <w:sz w:val="24"/>
          <w:szCs w:val="24"/>
        </w:rPr>
        <w:t>$32,881,285</w:t>
      </w:r>
      <w:r w:rsidRPr="00B21982">
        <w:rPr>
          <w:rFonts w:ascii="Times New Roman" w:hAnsi="Times New Roman"/>
          <w:sz w:val="24"/>
          <w:szCs w:val="24"/>
        </w:rPr>
        <w:t xml:space="preserve"> in uncompensated care costs in FY 2011. This consisted of $1,353,061 that was written off as bad debt and $31,528,224 was covered through federal, state, and private grant dollars and was given to patients on a sliding fee discount.</w:t>
      </w:r>
      <w:r w:rsidRPr="00B21982">
        <w:rPr>
          <w:rStyle w:val="FootnoteReference"/>
          <w:rFonts w:ascii="Times New Roman" w:hAnsi="Times New Roman"/>
          <w:sz w:val="24"/>
          <w:szCs w:val="24"/>
        </w:rPr>
        <w:footnoteReference w:id="9"/>
      </w:r>
      <w:r w:rsidRPr="00B21982">
        <w:rPr>
          <w:rFonts w:ascii="Times New Roman" w:hAnsi="Times New Roman"/>
          <w:sz w:val="24"/>
          <w:szCs w:val="24"/>
        </w:rPr>
        <w:t xml:space="preserve">  </w:t>
      </w:r>
    </w:p>
    <w:p w:rsidR="001F3A12" w:rsidRPr="00F768E8" w:rsidRDefault="001F3A12" w:rsidP="001F3A12">
      <w:pPr>
        <w:spacing w:after="240"/>
        <w:rPr>
          <w:rFonts w:ascii="Times New Roman" w:hAnsi="Times New Roman"/>
          <w:b/>
          <w:i/>
          <w:sz w:val="24"/>
        </w:rPr>
      </w:pPr>
      <w:r w:rsidRPr="00F768E8">
        <w:rPr>
          <w:rFonts w:ascii="Times New Roman" w:hAnsi="Times New Roman"/>
          <w:b/>
          <w:i/>
          <w:sz w:val="24"/>
        </w:rPr>
        <w:t>Disproportionate Share Hospital Payments (DSH)</w:t>
      </w:r>
    </w:p>
    <w:p w:rsidR="001F3A12" w:rsidRPr="00B21982" w:rsidRDefault="001F3A12" w:rsidP="001F3A12">
      <w:pPr>
        <w:rPr>
          <w:rFonts w:ascii="Times New Roman" w:hAnsi="Times New Roman"/>
          <w:sz w:val="24"/>
          <w:szCs w:val="24"/>
        </w:rPr>
      </w:pPr>
      <w:r w:rsidRPr="00B21982">
        <w:rPr>
          <w:rFonts w:ascii="Times New Roman" w:hAnsi="Times New Roman"/>
          <w:sz w:val="24"/>
          <w:szCs w:val="24"/>
        </w:rPr>
        <w:t xml:space="preserve">In FY 2011, Utah hospitals received </w:t>
      </w:r>
      <w:r w:rsidRPr="00B21982">
        <w:rPr>
          <w:rFonts w:ascii="Times New Roman" w:hAnsi="Times New Roman"/>
          <w:b/>
          <w:sz w:val="24"/>
          <w:szCs w:val="24"/>
        </w:rPr>
        <w:t>$27,582,716.15</w:t>
      </w:r>
      <w:r w:rsidRPr="00B21982">
        <w:rPr>
          <w:rFonts w:ascii="Times New Roman" w:hAnsi="Times New Roman"/>
          <w:sz w:val="24"/>
          <w:szCs w:val="24"/>
        </w:rPr>
        <w:t xml:space="preserve"> in DSH payments.  51 out of 57 hospitals that applied received DSH payments.</w:t>
      </w:r>
      <w:r w:rsidRPr="00B21982">
        <w:rPr>
          <w:rStyle w:val="FootnoteReference"/>
          <w:rFonts w:ascii="Times New Roman" w:hAnsi="Times New Roman"/>
          <w:sz w:val="24"/>
          <w:szCs w:val="24"/>
        </w:rPr>
        <w:footnoteReference w:id="10"/>
      </w:r>
      <w:r w:rsidRPr="00B21982">
        <w:rPr>
          <w:rFonts w:ascii="Times New Roman" w:hAnsi="Times New Roman"/>
          <w:sz w:val="24"/>
          <w:szCs w:val="24"/>
        </w:rPr>
        <w:t xml:space="preserve"> DSH payments are provided through the Federal government to treat indigent patients such that hospitals may receive partial reimbursement for rendered services.  DSH payments typically go to large urban hospitals and teaching hospitals.  The annual Disproportionate Share Hospital Survey and Uncompensated Care Survey </w:t>
      </w:r>
      <w:r w:rsidR="002D3FEE">
        <w:rPr>
          <w:rFonts w:ascii="Times New Roman" w:hAnsi="Times New Roman"/>
          <w:sz w:val="24"/>
          <w:szCs w:val="24"/>
        </w:rPr>
        <w:t>are</w:t>
      </w:r>
      <w:r w:rsidR="002D3FEE" w:rsidRPr="00B21982">
        <w:rPr>
          <w:rFonts w:ascii="Times New Roman" w:hAnsi="Times New Roman"/>
          <w:sz w:val="24"/>
          <w:szCs w:val="24"/>
        </w:rPr>
        <w:t xml:space="preserve"> </w:t>
      </w:r>
      <w:r w:rsidRPr="00B21982">
        <w:rPr>
          <w:rFonts w:ascii="Times New Roman" w:hAnsi="Times New Roman"/>
          <w:sz w:val="24"/>
          <w:szCs w:val="24"/>
        </w:rPr>
        <w:t>used to determine eligibility for the subsequent federal fiscal year DSH program.</w:t>
      </w:r>
      <w:r w:rsidR="00D00572" w:rsidRPr="00D00572">
        <w:rPr>
          <w:rStyle w:val="FootnoteReference"/>
          <w:rFonts w:ascii="Times New Roman" w:hAnsi="Times New Roman"/>
          <w:sz w:val="24"/>
          <w:szCs w:val="24"/>
        </w:rPr>
        <w:t xml:space="preserve"> </w:t>
      </w:r>
      <w:r w:rsidR="00D00572" w:rsidRPr="00B21982">
        <w:rPr>
          <w:rStyle w:val="FootnoteReference"/>
          <w:rFonts w:ascii="Times New Roman" w:hAnsi="Times New Roman"/>
          <w:sz w:val="24"/>
          <w:szCs w:val="24"/>
        </w:rPr>
        <w:footnoteReference w:id="11"/>
      </w:r>
      <w:r w:rsidRPr="00B21982">
        <w:rPr>
          <w:rFonts w:ascii="Times New Roman" w:hAnsi="Times New Roman"/>
          <w:sz w:val="24"/>
          <w:szCs w:val="24"/>
        </w:rPr>
        <w:t xml:space="preserve"> This survey calculate</w:t>
      </w:r>
      <w:r w:rsidR="00EE6B1E">
        <w:rPr>
          <w:rFonts w:ascii="Times New Roman" w:hAnsi="Times New Roman"/>
          <w:sz w:val="24"/>
          <w:szCs w:val="24"/>
        </w:rPr>
        <w:t>s</w:t>
      </w:r>
      <w:r w:rsidRPr="00B21982">
        <w:rPr>
          <w:rFonts w:ascii="Times New Roman" w:hAnsi="Times New Roman"/>
          <w:sz w:val="24"/>
          <w:szCs w:val="24"/>
        </w:rPr>
        <w:t xml:space="preserve"> Uncompensated Care Costs in Section 6 from the last filed Medicare Cost Report and has a separate breakout section for uncompensated Medicaid costs.</w:t>
      </w:r>
      <w:r w:rsidR="00664324">
        <w:rPr>
          <w:rFonts w:ascii="Times New Roman" w:hAnsi="Times New Roman"/>
          <w:sz w:val="24"/>
          <w:szCs w:val="24"/>
        </w:rPr>
        <w:t xml:space="preserve">  Under the terms of the ACA, DSH will be phased </w:t>
      </w:r>
      <w:r w:rsidR="002D3FEE">
        <w:rPr>
          <w:rFonts w:ascii="Times New Roman" w:hAnsi="Times New Roman"/>
          <w:sz w:val="24"/>
          <w:szCs w:val="24"/>
        </w:rPr>
        <w:t>down</w:t>
      </w:r>
      <w:r w:rsidR="00664324">
        <w:rPr>
          <w:rFonts w:ascii="Times New Roman" w:hAnsi="Times New Roman"/>
          <w:sz w:val="24"/>
          <w:szCs w:val="24"/>
        </w:rPr>
        <w:t>.</w:t>
      </w:r>
      <w:r w:rsidRPr="00B21982">
        <w:rPr>
          <w:rFonts w:ascii="Times New Roman" w:hAnsi="Times New Roman"/>
          <w:sz w:val="24"/>
          <w:szCs w:val="24"/>
        </w:rPr>
        <w:t xml:space="preserve">  </w:t>
      </w:r>
    </w:p>
    <w:p w:rsidR="001F3A12" w:rsidRPr="00E24388" w:rsidRDefault="001F3A12" w:rsidP="001F3A12">
      <w:pPr>
        <w:spacing w:after="240"/>
        <w:rPr>
          <w:rFonts w:ascii="Times New Roman" w:hAnsi="Times New Roman"/>
          <w:b/>
          <w:i/>
          <w:sz w:val="24"/>
        </w:rPr>
      </w:pPr>
      <w:r w:rsidRPr="00E24388">
        <w:rPr>
          <w:rFonts w:ascii="Times New Roman" w:hAnsi="Times New Roman"/>
          <w:b/>
          <w:i/>
          <w:sz w:val="24"/>
        </w:rPr>
        <w:t>Total Uncompensated Care Costs</w:t>
      </w:r>
    </w:p>
    <w:p w:rsidR="001F3A12" w:rsidRPr="00B21982" w:rsidRDefault="001F3A12" w:rsidP="001F3A12">
      <w:pPr>
        <w:rPr>
          <w:rFonts w:ascii="Times New Roman" w:hAnsi="Times New Roman"/>
          <w:sz w:val="24"/>
          <w:szCs w:val="24"/>
        </w:rPr>
      </w:pPr>
      <w:r w:rsidRPr="00B21982">
        <w:rPr>
          <w:rFonts w:ascii="Times New Roman" w:hAnsi="Times New Roman"/>
          <w:sz w:val="24"/>
          <w:szCs w:val="24"/>
        </w:rPr>
        <w:t>By totaling hospital uncompensated care cost estimates ($270,891,340), FQHC uncompensated care totals ($32,881,285), and DSH payment totals ($27,582,716.15)</w:t>
      </w:r>
      <w:r w:rsidR="00EE6B1E">
        <w:rPr>
          <w:rFonts w:ascii="Times New Roman" w:hAnsi="Times New Roman"/>
          <w:sz w:val="24"/>
          <w:szCs w:val="24"/>
        </w:rPr>
        <w:t>,</w:t>
      </w:r>
      <w:r w:rsidRPr="00B21982">
        <w:rPr>
          <w:rFonts w:ascii="Times New Roman" w:hAnsi="Times New Roman"/>
          <w:sz w:val="24"/>
          <w:szCs w:val="24"/>
        </w:rPr>
        <w:t xml:space="preserve"> PCG is able to estimate </w:t>
      </w:r>
      <w:r w:rsidRPr="00B21982">
        <w:rPr>
          <w:rFonts w:ascii="Times New Roman" w:hAnsi="Times New Roman"/>
          <w:sz w:val="24"/>
          <w:szCs w:val="24"/>
        </w:rPr>
        <w:lastRenderedPageBreak/>
        <w:t>uncompensated care costs for FY 11 in the state of Utah at $</w:t>
      </w:r>
      <w:r w:rsidRPr="00B21982">
        <w:rPr>
          <w:rFonts w:ascii="Times New Roman" w:hAnsi="Times New Roman"/>
          <w:b/>
          <w:sz w:val="24"/>
          <w:szCs w:val="24"/>
        </w:rPr>
        <w:t>331,555,341.15</w:t>
      </w:r>
      <w:r w:rsidRPr="00B21982">
        <w:rPr>
          <w:rFonts w:ascii="Times New Roman" w:hAnsi="Times New Roman"/>
          <w:sz w:val="24"/>
          <w:szCs w:val="24"/>
        </w:rPr>
        <w:t>.   The following chart demonstrates this data.</w:t>
      </w:r>
    </w:p>
    <w:p w:rsidR="007C2147" w:rsidRDefault="007C2147" w:rsidP="001F3A12">
      <w:pPr>
        <w:rPr>
          <w:rFonts w:ascii="Times New Roman" w:hAnsi="Times New Roman"/>
        </w:rPr>
      </w:pPr>
    </w:p>
    <w:p w:rsidR="001F3A12" w:rsidRDefault="00922497" w:rsidP="0007304C">
      <w:pPr>
        <w:jc w:val="center"/>
        <w:rPr>
          <w:rFonts w:cs="Calibri"/>
        </w:rPr>
      </w:pPr>
      <w:r w:rsidRPr="00922497">
        <w:rPr>
          <w:noProof/>
          <w:lang w:eastAsia="en-US"/>
        </w:rPr>
        <w:drawing>
          <wp:inline distT="0" distB="0" distL="0" distR="0">
            <wp:extent cx="3190875" cy="1581150"/>
            <wp:effectExtent l="19050" t="0" r="9525" b="0"/>
            <wp:docPr id="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3190875" cy="1581150"/>
                    </a:xfrm>
                    <a:prstGeom prst="rect">
                      <a:avLst/>
                    </a:prstGeom>
                    <a:noFill/>
                    <a:ln w="9525">
                      <a:noFill/>
                      <a:miter lim="800000"/>
                      <a:headEnd/>
                      <a:tailEnd/>
                    </a:ln>
                  </pic:spPr>
                </pic:pic>
              </a:graphicData>
            </a:graphic>
          </wp:inline>
        </w:drawing>
      </w:r>
    </w:p>
    <w:p w:rsidR="001F3A12" w:rsidRPr="00B21982" w:rsidRDefault="001F3A12" w:rsidP="001F3A12">
      <w:pPr>
        <w:rPr>
          <w:rFonts w:ascii="Times New Roman" w:hAnsi="Times New Roman"/>
          <w:sz w:val="24"/>
          <w:szCs w:val="24"/>
        </w:rPr>
      </w:pPr>
      <w:r w:rsidRPr="00B21982">
        <w:rPr>
          <w:rFonts w:ascii="Times New Roman" w:hAnsi="Times New Roman"/>
          <w:sz w:val="24"/>
          <w:szCs w:val="24"/>
        </w:rPr>
        <w:t xml:space="preserve">Total </w:t>
      </w:r>
      <w:r w:rsidR="00EE6B1E">
        <w:rPr>
          <w:rFonts w:ascii="Times New Roman" w:hAnsi="Times New Roman"/>
          <w:sz w:val="24"/>
          <w:szCs w:val="24"/>
        </w:rPr>
        <w:t>u</w:t>
      </w:r>
      <w:r w:rsidRPr="00B21982">
        <w:rPr>
          <w:rFonts w:ascii="Times New Roman" w:hAnsi="Times New Roman"/>
          <w:sz w:val="24"/>
          <w:szCs w:val="24"/>
        </w:rPr>
        <w:t xml:space="preserve">ninsured population counts for the state of Utah in FY 2011 can be found in the table below.  </w:t>
      </w:r>
      <w:r w:rsidR="002D2AA9">
        <w:rPr>
          <w:rFonts w:ascii="Times New Roman" w:hAnsi="Times New Roman"/>
          <w:sz w:val="24"/>
          <w:szCs w:val="24"/>
        </w:rPr>
        <w:t xml:space="preserve">These figures come from SHADAC and CPS data sources as previously described. </w:t>
      </w:r>
    </w:p>
    <w:p w:rsidR="001F3A12" w:rsidRPr="00B21982" w:rsidRDefault="00922497" w:rsidP="0007304C">
      <w:pPr>
        <w:jc w:val="center"/>
        <w:rPr>
          <w:sz w:val="24"/>
          <w:szCs w:val="24"/>
        </w:rPr>
      </w:pPr>
      <w:r w:rsidRPr="00922497">
        <w:rPr>
          <w:noProof/>
          <w:szCs w:val="24"/>
          <w:lang w:eastAsia="en-US"/>
        </w:rPr>
        <w:drawing>
          <wp:inline distT="0" distB="0" distL="0" distR="0">
            <wp:extent cx="3190875" cy="1009650"/>
            <wp:effectExtent l="19050" t="0" r="9525" b="0"/>
            <wp:docPr id="10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3190875" cy="1009650"/>
                    </a:xfrm>
                    <a:prstGeom prst="rect">
                      <a:avLst/>
                    </a:prstGeom>
                    <a:noFill/>
                    <a:ln w="9525">
                      <a:noFill/>
                      <a:miter lim="800000"/>
                      <a:headEnd/>
                      <a:tailEnd/>
                    </a:ln>
                  </pic:spPr>
                </pic:pic>
              </a:graphicData>
            </a:graphic>
          </wp:inline>
        </w:drawing>
      </w:r>
    </w:p>
    <w:p w:rsidR="001F3A12" w:rsidRPr="00B21982" w:rsidRDefault="001F3A12" w:rsidP="001F3A12">
      <w:pPr>
        <w:rPr>
          <w:rFonts w:ascii="Times New Roman" w:hAnsi="Times New Roman"/>
          <w:sz w:val="24"/>
          <w:szCs w:val="24"/>
        </w:rPr>
      </w:pPr>
      <w:r w:rsidRPr="00B21982">
        <w:rPr>
          <w:rFonts w:ascii="Times New Roman" w:hAnsi="Times New Roman"/>
          <w:sz w:val="24"/>
          <w:szCs w:val="24"/>
        </w:rPr>
        <w:t xml:space="preserve">The Kaiser Family Foundation estimates a total of </w:t>
      </w:r>
      <w:r w:rsidR="00EE6B1E" w:rsidRPr="00B21982">
        <w:rPr>
          <w:rFonts w:ascii="Times New Roman" w:hAnsi="Times New Roman"/>
          <w:sz w:val="24"/>
          <w:szCs w:val="24"/>
        </w:rPr>
        <w:t xml:space="preserve">393,300 </w:t>
      </w:r>
      <w:r w:rsidRPr="00B21982">
        <w:rPr>
          <w:rFonts w:ascii="Times New Roman" w:hAnsi="Times New Roman"/>
          <w:sz w:val="24"/>
          <w:szCs w:val="24"/>
        </w:rPr>
        <w:t>uninsured in Utah from 2010 – 2011 across all age groups.</w:t>
      </w:r>
      <w:r w:rsidRPr="00B21982">
        <w:rPr>
          <w:rStyle w:val="FootnoteReference"/>
          <w:rFonts w:ascii="Times New Roman" w:hAnsi="Times New Roman"/>
          <w:sz w:val="24"/>
          <w:szCs w:val="24"/>
        </w:rPr>
        <w:footnoteReference w:id="12"/>
      </w:r>
      <w:r w:rsidRPr="00B21982">
        <w:rPr>
          <w:rFonts w:ascii="Times New Roman" w:hAnsi="Times New Roman"/>
          <w:sz w:val="24"/>
          <w:szCs w:val="24"/>
        </w:rPr>
        <w:t xml:space="preserve"> Kaiser does not provide data on whether adults have children or not so we chose to utilize our own population data calculations.  </w:t>
      </w:r>
    </w:p>
    <w:p w:rsidR="001F3A12" w:rsidRDefault="001F3A12" w:rsidP="001F3A12">
      <w:pPr>
        <w:spacing w:after="240"/>
        <w:rPr>
          <w:rFonts w:ascii="Times New Roman" w:hAnsi="Times New Roman"/>
          <w:b/>
          <w:i/>
          <w:sz w:val="24"/>
        </w:rPr>
      </w:pPr>
      <w:r>
        <w:rPr>
          <w:rFonts w:ascii="Times New Roman" w:hAnsi="Times New Roman"/>
          <w:b/>
          <w:i/>
          <w:sz w:val="24"/>
        </w:rPr>
        <w:t>Additional Assumptions</w:t>
      </w:r>
    </w:p>
    <w:p w:rsidR="001F3A12" w:rsidRPr="00B21982" w:rsidRDefault="001F3A12" w:rsidP="00386411">
      <w:pPr>
        <w:pStyle w:val="ListParagraph"/>
        <w:numPr>
          <w:ilvl w:val="0"/>
          <w:numId w:val="16"/>
        </w:numPr>
        <w:spacing w:line="240" w:lineRule="auto"/>
        <w:rPr>
          <w:rFonts w:ascii="Times New Roman" w:hAnsi="Times New Roman"/>
          <w:b/>
          <w:sz w:val="24"/>
          <w:szCs w:val="24"/>
          <w:u w:val="single"/>
        </w:rPr>
      </w:pPr>
      <w:r w:rsidRPr="00B21982">
        <w:rPr>
          <w:rFonts w:ascii="Times New Roman" w:hAnsi="Times New Roman"/>
          <w:sz w:val="24"/>
          <w:szCs w:val="24"/>
        </w:rPr>
        <w:t>Uncompensated care costs track across subsets of the general population</w:t>
      </w:r>
      <w:r w:rsidR="00EE6B1E">
        <w:rPr>
          <w:rFonts w:ascii="Times New Roman" w:hAnsi="Times New Roman"/>
          <w:sz w:val="24"/>
          <w:szCs w:val="24"/>
        </w:rPr>
        <w:t>.</w:t>
      </w:r>
    </w:p>
    <w:p w:rsidR="001F3A12" w:rsidRPr="00B21982" w:rsidRDefault="001F3A12" w:rsidP="00386411">
      <w:pPr>
        <w:pStyle w:val="ListParagraph"/>
        <w:numPr>
          <w:ilvl w:val="0"/>
          <w:numId w:val="16"/>
        </w:numPr>
        <w:spacing w:line="240" w:lineRule="auto"/>
        <w:rPr>
          <w:rFonts w:ascii="Times New Roman" w:hAnsi="Times New Roman"/>
          <w:b/>
          <w:sz w:val="24"/>
          <w:szCs w:val="24"/>
          <w:u w:val="single"/>
        </w:rPr>
      </w:pPr>
      <w:r w:rsidRPr="00B21982">
        <w:rPr>
          <w:rFonts w:ascii="Times New Roman" w:hAnsi="Times New Roman"/>
          <w:sz w:val="24"/>
          <w:szCs w:val="24"/>
        </w:rPr>
        <w:t>Patients across differing FPL brackets have the same level of healthcare utilization</w:t>
      </w:r>
      <w:r w:rsidR="00EE6B1E">
        <w:rPr>
          <w:rFonts w:ascii="Times New Roman" w:hAnsi="Times New Roman"/>
          <w:sz w:val="24"/>
          <w:szCs w:val="24"/>
        </w:rPr>
        <w:t>.</w:t>
      </w:r>
    </w:p>
    <w:p w:rsidR="009C292C" w:rsidRDefault="009C292C" w:rsidP="001F3A12">
      <w:pPr>
        <w:spacing w:after="240"/>
        <w:rPr>
          <w:rFonts w:ascii="Times New Roman" w:hAnsi="Times New Roman"/>
          <w:b/>
          <w:i/>
          <w:sz w:val="24"/>
        </w:rPr>
      </w:pPr>
    </w:p>
    <w:p w:rsidR="00196BDC" w:rsidRDefault="00196BDC" w:rsidP="001F3A12">
      <w:pPr>
        <w:spacing w:after="240"/>
        <w:rPr>
          <w:rFonts w:ascii="Times New Roman" w:hAnsi="Times New Roman"/>
          <w:b/>
          <w:i/>
          <w:sz w:val="24"/>
        </w:rPr>
      </w:pPr>
    </w:p>
    <w:p w:rsidR="00196BDC" w:rsidRDefault="00196BDC" w:rsidP="001F3A12">
      <w:pPr>
        <w:spacing w:after="240"/>
        <w:rPr>
          <w:rFonts w:ascii="Times New Roman" w:hAnsi="Times New Roman"/>
          <w:b/>
          <w:i/>
          <w:sz w:val="24"/>
        </w:rPr>
      </w:pPr>
    </w:p>
    <w:p w:rsidR="009C292C" w:rsidRDefault="009C292C" w:rsidP="001F3A12">
      <w:pPr>
        <w:spacing w:after="240"/>
        <w:rPr>
          <w:rFonts w:ascii="Times New Roman" w:hAnsi="Times New Roman"/>
          <w:b/>
          <w:i/>
          <w:sz w:val="24"/>
        </w:rPr>
      </w:pPr>
    </w:p>
    <w:p w:rsidR="001F3A12" w:rsidRPr="00181A60" w:rsidRDefault="001F3A12" w:rsidP="001F3A12">
      <w:pPr>
        <w:spacing w:after="240"/>
        <w:rPr>
          <w:rFonts w:ascii="Times New Roman" w:hAnsi="Times New Roman"/>
          <w:b/>
          <w:i/>
          <w:sz w:val="24"/>
        </w:rPr>
      </w:pPr>
      <w:r>
        <w:rPr>
          <w:rFonts w:ascii="Times New Roman" w:hAnsi="Times New Roman"/>
          <w:b/>
          <w:i/>
          <w:sz w:val="24"/>
        </w:rPr>
        <w:lastRenderedPageBreak/>
        <w:t>Data Output</w:t>
      </w:r>
    </w:p>
    <w:p w:rsidR="001F3A12" w:rsidRPr="00B21982" w:rsidRDefault="00996857" w:rsidP="001F3A12">
      <w:pPr>
        <w:rPr>
          <w:rFonts w:ascii="Times New Roman" w:hAnsi="Times New Roman"/>
          <w:sz w:val="24"/>
          <w:szCs w:val="24"/>
        </w:rPr>
      </w:pPr>
      <w:r>
        <w:rPr>
          <w:rFonts w:ascii="Times New Roman" w:hAnsi="Times New Roman"/>
          <w:sz w:val="24"/>
          <w:szCs w:val="24"/>
        </w:rPr>
        <w:t>D</w:t>
      </w:r>
      <w:r w:rsidRPr="00B21982">
        <w:rPr>
          <w:rFonts w:ascii="Times New Roman" w:hAnsi="Times New Roman"/>
          <w:sz w:val="24"/>
          <w:szCs w:val="24"/>
        </w:rPr>
        <w:t>ue to the absence of data on uncompensated care by poverty level</w:t>
      </w:r>
      <w:r>
        <w:rPr>
          <w:rFonts w:ascii="Times New Roman" w:hAnsi="Times New Roman"/>
          <w:sz w:val="24"/>
          <w:szCs w:val="24"/>
        </w:rPr>
        <w:t>, e</w:t>
      </w:r>
      <w:r w:rsidR="001F3A12" w:rsidRPr="00B21982">
        <w:rPr>
          <w:rFonts w:ascii="Times New Roman" w:hAnsi="Times New Roman"/>
          <w:sz w:val="24"/>
          <w:szCs w:val="24"/>
        </w:rPr>
        <w:t>stimating uncompensated care savings requires determining the amount of uncompensated care flowing to differing individuals at differing poverty levels.  The following chart summarizes the unit cost calculation.</w:t>
      </w:r>
    </w:p>
    <w:p w:rsidR="001F3A12" w:rsidRDefault="00D92765" w:rsidP="001F3A12">
      <w:pPr>
        <w:jc w:val="center"/>
        <w:rPr>
          <w:rFonts w:ascii="Times New Roman" w:hAnsi="Times New Roman"/>
        </w:rPr>
      </w:pPr>
      <w:r w:rsidRPr="00D92765">
        <w:rPr>
          <w:noProof/>
          <w:lang w:eastAsia="en-US"/>
        </w:rPr>
        <w:drawing>
          <wp:inline distT="0" distB="0" distL="0" distR="0">
            <wp:extent cx="3105150" cy="1409700"/>
            <wp:effectExtent l="19050" t="0" r="0" b="0"/>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3105150" cy="1409700"/>
                    </a:xfrm>
                    <a:prstGeom prst="rect">
                      <a:avLst/>
                    </a:prstGeom>
                    <a:noFill/>
                    <a:ln w="9525">
                      <a:noFill/>
                      <a:miter lim="800000"/>
                      <a:headEnd/>
                      <a:tailEnd/>
                    </a:ln>
                  </pic:spPr>
                </pic:pic>
              </a:graphicData>
            </a:graphic>
          </wp:inline>
        </w:drawing>
      </w:r>
    </w:p>
    <w:p w:rsidR="001F3A12" w:rsidRPr="00B21982" w:rsidRDefault="001F3A12" w:rsidP="001F3A12">
      <w:pPr>
        <w:rPr>
          <w:rFonts w:ascii="Times New Roman" w:hAnsi="Times New Roman"/>
          <w:sz w:val="24"/>
          <w:szCs w:val="24"/>
        </w:rPr>
      </w:pPr>
      <w:r w:rsidRPr="00B21982">
        <w:rPr>
          <w:rFonts w:ascii="Times New Roman" w:hAnsi="Times New Roman"/>
          <w:sz w:val="24"/>
          <w:szCs w:val="24"/>
        </w:rPr>
        <w:t xml:space="preserve">The figure of </w:t>
      </w:r>
      <w:r w:rsidRPr="00B21982">
        <w:rPr>
          <w:rFonts w:ascii="Times New Roman" w:hAnsi="Times New Roman"/>
          <w:b/>
          <w:sz w:val="24"/>
          <w:szCs w:val="24"/>
        </w:rPr>
        <w:t>$814.14</w:t>
      </w:r>
      <w:r w:rsidRPr="00B21982">
        <w:rPr>
          <w:rFonts w:ascii="Times New Roman" w:hAnsi="Times New Roman"/>
          <w:sz w:val="24"/>
          <w:szCs w:val="24"/>
        </w:rPr>
        <w:t xml:space="preserve"> can be applied to modeled expansion populations in order to calculate the projected uncompensated care savings.</w:t>
      </w:r>
    </w:p>
    <w:p w:rsidR="001F3A12" w:rsidRDefault="001F3A12">
      <w:pPr>
        <w:spacing w:after="0" w:line="240" w:lineRule="auto"/>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br w:type="page"/>
      </w:r>
    </w:p>
    <w:p w:rsidR="00C80065" w:rsidRPr="00181A60" w:rsidRDefault="00C80065" w:rsidP="00C80065">
      <w:pPr>
        <w:spacing w:after="240"/>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Public Assistance Savings</w:t>
      </w:r>
    </w:p>
    <w:p w:rsidR="008F0084" w:rsidRPr="00A81876" w:rsidRDefault="008F0084" w:rsidP="008F0084">
      <w:pPr>
        <w:rPr>
          <w:rFonts w:ascii="Times New Roman" w:hAnsi="Times New Roman"/>
          <w:sz w:val="24"/>
          <w:szCs w:val="24"/>
        </w:rPr>
      </w:pPr>
      <w:r w:rsidRPr="00A81876">
        <w:rPr>
          <w:rFonts w:ascii="Times New Roman" w:hAnsi="Times New Roman"/>
          <w:sz w:val="24"/>
          <w:szCs w:val="24"/>
        </w:rPr>
        <w:t>Certain state and related county programs have the potential to enjoy cost savings if the state expands its Medicaid program. This is because individuals currently covered by services funded largely by state general fund money, in addition to certain Federal funds</w:t>
      </w:r>
      <w:r>
        <w:rPr>
          <w:rFonts w:ascii="Times New Roman" w:hAnsi="Times New Roman"/>
          <w:sz w:val="24"/>
          <w:szCs w:val="24"/>
        </w:rPr>
        <w:t xml:space="preserve"> and local funds</w:t>
      </w:r>
      <w:r w:rsidRPr="00A81876">
        <w:rPr>
          <w:rFonts w:ascii="Times New Roman" w:hAnsi="Times New Roman"/>
          <w:sz w:val="24"/>
          <w:szCs w:val="24"/>
        </w:rPr>
        <w:t>, would newly move into Medicaid coverage under the enhanced federal matching percentages in the ACA.</w:t>
      </w:r>
    </w:p>
    <w:p w:rsidR="008F0084" w:rsidRDefault="008F0084" w:rsidP="008F0084">
      <w:pPr>
        <w:rPr>
          <w:rFonts w:ascii="Times New Roman" w:hAnsi="Times New Roman"/>
          <w:sz w:val="24"/>
          <w:szCs w:val="24"/>
        </w:rPr>
      </w:pPr>
      <w:r w:rsidRPr="00A81876">
        <w:rPr>
          <w:rFonts w:ascii="Times New Roman" w:hAnsi="Times New Roman"/>
          <w:sz w:val="24"/>
          <w:szCs w:val="24"/>
        </w:rPr>
        <w:t>Th</w:t>
      </w:r>
      <w:r>
        <w:rPr>
          <w:rFonts w:ascii="Times New Roman" w:hAnsi="Times New Roman"/>
          <w:sz w:val="24"/>
          <w:szCs w:val="24"/>
        </w:rPr>
        <w:t>is report considers two areas that are likely to be impacted more than others by Medicaid expansion: state mental health and substance use disorder coverage and Medicaid claiming for inmates who leave prisons for medical coverage in hospitals.</w:t>
      </w:r>
    </w:p>
    <w:p w:rsidR="00C80065" w:rsidRPr="008F0084" w:rsidRDefault="008F0084" w:rsidP="00C80065">
      <w:pPr>
        <w:spacing w:after="240"/>
        <w:rPr>
          <w:rFonts w:ascii="Times New Roman" w:hAnsi="Times New Roman"/>
          <w:b/>
          <w:sz w:val="24"/>
          <w:szCs w:val="24"/>
        </w:rPr>
      </w:pPr>
      <w:r>
        <w:rPr>
          <w:rFonts w:ascii="Times New Roman" w:hAnsi="Times New Roman"/>
          <w:b/>
          <w:sz w:val="24"/>
          <w:szCs w:val="24"/>
        </w:rPr>
        <w:t>S</w:t>
      </w:r>
      <w:r w:rsidRPr="008F0084">
        <w:rPr>
          <w:rFonts w:ascii="Times New Roman" w:hAnsi="Times New Roman"/>
          <w:b/>
          <w:sz w:val="24"/>
          <w:szCs w:val="24"/>
        </w:rPr>
        <w:t xml:space="preserve">tate </w:t>
      </w:r>
      <w:r>
        <w:rPr>
          <w:rFonts w:ascii="Times New Roman" w:hAnsi="Times New Roman"/>
          <w:b/>
          <w:sz w:val="24"/>
          <w:szCs w:val="24"/>
        </w:rPr>
        <w:t>M</w:t>
      </w:r>
      <w:r w:rsidRPr="008F0084">
        <w:rPr>
          <w:rFonts w:ascii="Times New Roman" w:hAnsi="Times New Roman"/>
          <w:b/>
          <w:sz w:val="24"/>
          <w:szCs w:val="24"/>
        </w:rPr>
        <w:t xml:space="preserve">ental </w:t>
      </w:r>
      <w:r>
        <w:rPr>
          <w:rFonts w:ascii="Times New Roman" w:hAnsi="Times New Roman"/>
          <w:b/>
          <w:sz w:val="24"/>
          <w:szCs w:val="24"/>
        </w:rPr>
        <w:t>H</w:t>
      </w:r>
      <w:r w:rsidRPr="008F0084">
        <w:rPr>
          <w:rFonts w:ascii="Times New Roman" w:hAnsi="Times New Roman"/>
          <w:b/>
          <w:sz w:val="24"/>
          <w:szCs w:val="24"/>
        </w:rPr>
        <w:t xml:space="preserve">ealth and </w:t>
      </w:r>
      <w:r>
        <w:rPr>
          <w:rFonts w:ascii="Times New Roman" w:hAnsi="Times New Roman"/>
          <w:b/>
          <w:sz w:val="24"/>
          <w:szCs w:val="24"/>
        </w:rPr>
        <w:t>S</w:t>
      </w:r>
      <w:r w:rsidRPr="008F0084">
        <w:rPr>
          <w:rFonts w:ascii="Times New Roman" w:hAnsi="Times New Roman"/>
          <w:b/>
          <w:sz w:val="24"/>
          <w:szCs w:val="24"/>
        </w:rPr>
        <w:t xml:space="preserve">ubstance </w:t>
      </w:r>
      <w:r>
        <w:rPr>
          <w:rFonts w:ascii="Times New Roman" w:hAnsi="Times New Roman"/>
          <w:b/>
          <w:sz w:val="24"/>
          <w:szCs w:val="24"/>
        </w:rPr>
        <w:t>U</w:t>
      </w:r>
      <w:r w:rsidRPr="008F0084">
        <w:rPr>
          <w:rFonts w:ascii="Times New Roman" w:hAnsi="Times New Roman"/>
          <w:b/>
          <w:sz w:val="24"/>
          <w:szCs w:val="24"/>
        </w:rPr>
        <w:t xml:space="preserve">se </w:t>
      </w:r>
      <w:r>
        <w:rPr>
          <w:rFonts w:ascii="Times New Roman" w:hAnsi="Times New Roman"/>
          <w:b/>
          <w:sz w:val="24"/>
          <w:szCs w:val="24"/>
        </w:rPr>
        <w:t>D</w:t>
      </w:r>
      <w:r w:rsidRPr="008F0084">
        <w:rPr>
          <w:rFonts w:ascii="Times New Roman" w:hAnsi="Times New Roman"/>
          <w:b/>
          <w:sz w:val="24"/>
          <w:szCs w:val="24"/>
        </w:rPr>
        <w:t xml:space="preserve">isorder </w:t>
      </w:r>
      <w:r>
        <w:rPr>
          <w:rFonts w:ascii="Times New Roman" w:hAnsi="Times New Roman"/>
          <w:b/>
          <w:sz w:val="24"/>
          <w:szCs w:val="24"/>
        </w:rPr>
        <w:t>C</w:t>
      </w:r>
      <w:r w:rsidRPr="008F0084">
        <w:rPr>
          <w:rFonts w:ascii="Times New Roman" w:hAnsi="Times New Roman"/>
          <w:b/>
          <w:sz w:val="24"/>
          <w:szCs w:val="24"/>
        </w:rPr>
        <w:t>overage</w:t>
      </w:r>
    </w:p>
    <w:p w:rsidR="00F576CD" w:rsidRPr="00D1537F" w:rsidRDefault="00F576CD" w:rsidP="00F576CD">
      <w:pPr>
        <w:rPr>
          <w:rFonts w:ascii="Times New Roman" w:hAnsi="Times New Roman"/>
          <w:sz w:val="24"/>
          <w:szCs w:val="24"/>
        </w:rPr>
      </w:pPr>
      <w:r>
        <w:rPr>
          <w:rFonts w:ascii="Times New Roman" w:hAnsi="Times New Roman"/>
          <w:sz w:val="24"/>
          <w:szCs w:val="24"/>
        </w:rPr>
        <w:t xml:space="preserve">The term behavioral health is commonly used to refer to the combination of mental and substance use disorder coverage. Currently in Utah, </w:t>
      </w:r>
      <w:r w:rsidRPr="00D1537F">
        <w:rPr>
          <w:rFonts w:ascii="Times New Roman" w:hAnsi="Times New Roman"/>
          <w:sz w:val="24"/>
          <w:szCs w:val="24"/>
        </w:rPr>
        <w:t>the Division of Substance Abuse and Mental Health (DSAMH) contracts with local county governments statutorily designated as local substance abuse authorities and local mental health authorities. There are thirteen local mental health authorities in Utah.</w:t>
      </w:r>
    </w:p>
    <w:p w:rsidR="00F576CD" w:rsidRPr="00D1537F" w:rsidRDefault="00F576CD" w:rsidP="00F576CD">
      <w:pPr>
        <w:rPr>
          <w:rFonts w:ascii="Times New Roman" w:hAnsi="Times New Roman"/>
          <w:sz w:val="24"/>
          <w:szCs w:val="24"/>
        </w:rPr>
      </w:pPr>
      <w:r w:rsidRPr="00D1537F">
        <w:rPr>
          <w:rFonts w:ascii="Times New Roman" w:hAnsi="Times New Roman"/>
          <w:sz w:val="24"/>
          <w:szCs w:val="24"/>
        </w:rPr>
        <w:t>DSAMH supervises the administration of the Utah State Hospital (USH), located in Provo, Utah. USH is a 24-hour inpatient psychiatric facility which serves adults who experience severe and persistent mental illness and children with emotional disturbance. The hospital also provides psychiatric treatment to all age groups and covers all geographic areas of the state. USH works with the local mental health authorities as part of its continuum of care. All adult and pediatric beds are allocated to the LMHAs based on population.</w:t>
      </w:r>
    </w:p>
    <w:p w:rsidR="00F576CD" w:rsidRPr="00D1537F" w:rsidRDefault="00F576CD" w:rsidP="00F576CD">
      <w:pPr>
        <w:rPr>
          <w:rFonts w:ascii="Times New Roman" w:hAnsi="Times New Roman"/>
          <w:sz w:val="24"/>
          <w:szCs w:val="24"/>
        </w:rPr>
      </w:pPr>
      <w:r w:rsidRPr="00D1537F">
        <w:rPr>
          <w:rFonts w:ascii="Times New Roman" w:hAnsi="Times New Roman"/>
          <w:sz w:val="24"/>
          <w:szCs w:val="24"/>
        </w:rPr>
        <w:t>DSAMH contracts directly with local county governments to provide treatment and prevention centers in each county throughout the state.</w:t>
      </w:r>
    </w:p>
    <w:p w:rsidR="00F576CD" w:rsidRDefault="00F576CD" w:rsidP="00F576CD">
      <w:pPr>
        <w:rPr>
          <w:color w:val="000000"/>
        </w:rPr>
      </w:pPr>
      <w:r w:rsidRPr="00D1537F">
        <w:rPr>
          <w:rFonts w:ascii="Times New Roman" w:hAnsi="Times New Roman"/>
          <w:sz w:val="24"/>
          <w:szCs w:val="24"/>
        </w:rPr>
        <w:t>Utah has multiple statewide initiatives which include:</w:t>
      </w:r>
    </w:p>
    <w:p w:rsidR="00F576CD" w:rsidRDefault="00F576CD" w:rsidP="00386411">
      <w:pPr>
        <w:pStyle w:val="NormalWeb"/>
        <w:numPr>
          <w:ilvl w:val="0"/>
          <w:numId w:val="3"/>
        </w:numPr>
        <w:spacing w:before="0" w:beforeAutospacing="0" w:after="0" w:afterAutospacing="0"/>
        <w:rPr>
          <w:color w:val="000000"/>
        </w:rPr>
      </w:pPr>
      <w:r>
        <w:rPr>
          <w:color w:val="000000"/>
        </w:rPr>
        <w:t>Recovery Plus</w:t>
      </w:r>
      <w:r w:rsidR="00EE6B1E">
        <w:rPr>
          <w:color w:val="000000"/>
        </w:rPr>
        <w:t>,</w:t>
      </w:r>
    </w:p>
    <w:p w:rsidR="00F576CD" w:rsidRDefault="00F576CD" w:rsidP="00386411">
      <w:pPr>
        <w:pStyle w:val="NormalWeb"/>
        <w:numPr>
          <w:ilvl w:val="0"/>
          <w:numId w:val="3"/>
        </w:numPr>
        <w:spacing w:before="0" w:beforeAutospacing="0" w:after="0" w:afterAutospacing="0"/>
        <w:rPr>
          <w:color w:val="000000"/>
        </w:rPr>
      </w:pPr>
      <w:r>
        <w:rPr>
          <w:color w:val="000000"/>
        </w:rPr>
        <w:t>Prevention by Design Project</w:t>
      </w:r>
      <w:r w:rsidR="00EE6B1E">
        <w:rPr>
          <w:color w:val="000000"/>
        </w:rPr>
        <w:t>,</w:t>
      </w:r>
    </w:p>
    <w:p w:rsidR="00F576CD" w:rsidRDefault="00F576CD" w:rsidP="00386411">
      <w:pPr>
        <w:pStyle w:val="NormalWeb"/>
        <w:numPr>
          <w:ilvl w:val="0"/>
          <w:numId w:val="3"/>
        </w:numPr>
        <w:spacing w:before="0" w:beforeAutospacing="0" w:after="0" w:afterAutospacing="0"/>
        <w:rPr>
          <w:color w:val="000000"/>
        </w:rPr>
      </w:pPr>
      <w:r>
        <w:rPr>
          <w:color w:val="000000"/>
        </w:rPr>
        <w:t>Olmstead (REDI System)</w:t>
      </w:r>
      <w:r w:rsidR="00EE6B1E">
        <w:rPr>
          <w:color w:val="000000"/>
        </w:rPr>
        <w:t>,</w:t>
      </w:r>
    </w:p>
    <w:p w:rsidR="00F576CD" w:rsidRDefault="00F576CD" w:rsidP="00386411">
      <w:pPr>
        <w:pStyle w:val="NormalWeb"/>
        <w:numPr>
          <w:ilvl w:val="0"/>
          <w:numId w:val="3"/>
        </w:numPr>
        <w:spacing w:before="0" w:beforeAutospacing="0" w:after="0" w:afterAutospacing="0"/>
        <w:rPr>
          <w:color w:val="000000"/>
        </w:rPr>
      </w:pPr>
      <w:r>
        <w:rPr>
          <w:color w:val="000000"/>
        </w:rPr>
        <w:t>Pre-Admission Screening Resident Review (PASRR)</w:t>
      </w:r>
      <w:r w:rsidR="00EE6B1E">
        <w:rPr>
          <w:color w:val="000000"/>
        </w:rPr>
        <w:t>,</w:t>
      </w:r>
    </w:p>
    <w:p w:rsidR="00F576CD" w:rsidRDefault="00F576CD" w:rsidP="00386411">
      <w:pPr>
        <w:pStyle w:val="NormalWeb"/>
        <w:numPr>
          <w:ilvl w:val="0"/>
          <w:numId w:val="3"/>
        </w:numPr>
        <w:spacing w:before="0" w:beforeAutospacing="0" w:after="0" w:afterAutospacing="0"/>
        <w:rPr>
          <w:color w:val="000000"/>
        </w:rPr>
      </w:pPr>
      <w:r>
        <w:rPr>
          <w:color w:val="000000"/>
        </w:rPr>
        <w:t>Utah’s Peer Support Services</w:t>
      </w:r>
      <w:r w:rsidR="00EE6B1E">
        <w:rPr>
          <w:color w:val="000000"/>
        </w:rPr>
        <w:t>,</w:t>
      </w:r>
    </w:p>
    <w:p w:rsidR="00F576CD" w:rsidRDefault="00F576CD" w:rsidP="00386411">
      <w:pPr>
        <w:pStyle w:val="NormalWeb"/>
        <w:numPr>
          <w:ilvl w:val="0"/>
          <w:numId w:val="3"/>
        </w:numPr>
        <w:spacing w:before="0" w:beforeAutospacing="0" w:after="0" w:afterAutospacing="0"/>
        <w:rPr>
          <w:color w:val="000000"/>
        </w:rPr>
      </w:pPr>
      <w:r>
        <w:rPr>
          <w:color w:val="000000"/>
        </w:rPr>
        <w:t>Access to Recovery</w:t>
      </w:r>
      <w:r w:rsidR="00EE6B1E">
        <w:rPr>
          <w:color w:val="000000"/>
        </w:rPr>
        <w:t>,</w:t>
      </w:r>
    </w:p>
    <w:p w:rsidR="00F576CD" w:rsidRDefault="00F576CD" w:rsidP="00386411">
      <w:pPr>
        <w:pStyle w:val="NormalWeb"/>
        <w:numPr>
          <w:ilvl w:val="0"/>
          <w:numId w:val="3"/>
        </w:numPr>
        <w:spacing w:before="0" w:beforeAutospacing="0" w:after="0" w:afterAutospacing="0"/>
        <w:rPr>
          <w:color w:val="000000"/>
        </w:rPr>
      </w:pPr>
      <w:r>
        <w:rPr>
          <w:color w:val="000000"/>
        </w:rPr>
        <w:t>On-Premise and Off-Premise Alcohol Sales Training</w:t>
      </w:r>
      <w:r w:rsidR="00EE6B1E">
        <w:rPr>
          <w:color w:val="000000"/>
        </w:rPr>
        <w:t>, and</w:t>
      </w:r>
    </w:p>
    <w:p w:rsidR="00F576CD" w:rsidRPr="00DE690F" w:rsidRDefault="00F576CD" w:rsidP="00386411">
      <w:pPr>
        <w:pStyle w:val="NormalWeb"/>
        <w:numPr>
          <w:ilvl w:val="0"/>
          <w:numId w:val="3"/>
        </w:numPr>
        <w:spacing w:before="0" w:beforeAutospacing="0" w:after="0" w:afterAutospacing="0"/>
        <w:rPr>
          <w:color w:val="000000"/>
        </w:rPr>
      </w:pPr>
      <w:r>
        <w:rPr>
          <w:color w:val="000000"/>
        </w:rPr>
        <w:t>DUI Education</w:t>
      </w:r>
      <w:r w:rsidR="00EE6B1E">
        <w:rPr>
          <w:color w:val="000000"/>
        </w:rPr>
        <w:t>.</w:t>
      </w:r>
    </w:p>
    <w:p w:rsidR="00F576CD" w:rsidRPr="00DE690F" w:rsidRDefault="00F576CD" w:rsidP="00386411">
      <w:pPr>
        <w:pStyle w:val="NormalWeb"/>
        <w:numPr>
          <w:ilvl w:val="0"/>
          <w:numId w:val="3"/>
        </w:numPr>
        <w:spacing w:before="0" w:beforeAutospacing="0" w:after="0" w:afterAutospacing="0"/>
        <w:rPr>
          <w:color w:val="000000"/>
        </w:rPr>
      </w:pPr>
      <w:r>
        <w:rPr>
          <w:color w:val="000000"/>
        </w:rPr>
        <w:lastRenderedPageBreak/>
        <w:t xml:space="preserve">PASSAGES (Progressive Adulthood: Skills, Support, Advocacy, Growth, and Empowerment = Success) is a program implemented in August 2012 that helps young people between the ages of 16 and 25 with mental health conditions successfully transition into adulthood. It employs coaches to mentor program participants to help them gain competency in a variety of domains. </w:t>
      </w:r>
    </w:p>
    <w:p w:rsidR="00F576CD" w:rsidRPr="00383723" w:rsidRDefault="00F576CD" w:rsidP="00386411">
      <w:pPr>
        <w:pStyle w:val="NormalWeb"/>
        <w:numPr>
          <w:ilvl w:val="0"/>
          <w:numId w:val="3"/>
        </w:numPr>
        <w:spacing w:before="0" w:beforeAutospacing="0" w:after="0" w:afterAutospacing="0"/>
        <w:rPr>
          <w:color w:val="000000"/>
        </w:rPr>
      </w:pPr>
      <w:r>
        <w:rPr>
          <w:color w:val="000000"/>
        </w:rPr>
        <w:t>Crisis Intervention Team- Utah: This program was implemented in 2001, and trains individuals to assist law enforcement officers to effectively respond to individuals experiencing a mental health crisis. Currently, 10 of Utah’s 13 regions participate in the CIT Utah Program.</w:t>
      </w:r>
    </w:p>
    <w:p w:rsidR="00F576CD" w:rsidRPr="00DE690F" w:rsidRDefault="00F576CD" w:rsidP="00386411">
      <w:pPr>
        <w:pStyle w:val="NormalWeb"/>
        <w:numPr>
          <w:ilvl w:val="0"/>
          <w:numId w:val="3"/>
        </w:numPr>
        <w:spacing w:before="0" w:beforeAutospacing="0" w:after="0" w:afterAutospacing="0"/>
        <w:rPr>
          <w:color w:val="000000"/>
        </w:rPr>
      </w:pPr>
      <w:r>
        <w:rPr>
          <w:color w:val="000000"/>
        </w:rPr>
        <w:t>Drug Court: Drug court provides participants intensive court supervised drug treatment as an alternative to jail. Services are provided to individuals that are identified at high risk for recidivism and in high need of substance abuse treatment services. There are four primary models of drug courts: adult felony, adult misdemeanor, juvenile, and family. In 2012, DSAMH provided funding for 29 courts, and will extend that funding to 45 courts in FY2013.</w:t>
      </w:r>
    </w:p>
    <w:p w:rsidR="00F576CD" w:rsidRPr="00DE690F" w:rsidRDefault="00F576CD" w:rsidP="00386411">
      <w:pPr>
        <w:pStyle w:val="NormalWeb"/>
        <w:numPr>
          <w:ilvl w:val="0"/>
          <w:numId w:val="3"/>
        </w:numPr>
        <w:spacing w:before="0" w:beforeAutospacing="0" w:after="0" w:afterAutospacing="0"/>
        <w:rPr>
          <w:color w:val="000000"/>
        </w:rPr>
      </w:pPr>
      <w:r>
        <w:rPr>
          <w:color w:val="000000"/>
        </w:rPr>
        <w:t>Drug Offender Reform Act (DORA): The DORA began in 2005 as a pilot project, and since has implemented eight local substance abuse authority areas of Utah. In 2012, 668 individuals were served in the DORA program statewide.</w:t>
      </w:r>
    </w:p>
    <w:p w:rsidR="00F576CD" w:rsidRPr="00DE690F" w:rsidRDefault="00F576CD" w:rsidP="00386411">
      <w:pPr>
        <w:pStyle w:val="NormalWeb"/>
        <w:numPr>
          <w:ilvl w:val="0"/>
          <w:numId w:val="3"/>
        </w:numPr>
        <w:spacing w:before="0" w:beforeAutospacing="0" w:after="0" w:afterAutospacing="0"/>
        <w:rPr>
          <w:color w:val="000000"/>
        </w:rPr>
      </w:pPr>
      <w:r w:rsidRPr="00DE690F">
        <w:rPr>
          <w:color w:val="000000"/>
        </w:rPr>
        <w:t xml:space="preserve">Utah also has many consumer and family partnerships which include </w:t>
      </w:r>
      <w:r w:rsidRPr="00DE690F">
        <w:rPr>
          <w:i/>
          <w:color w:val="000000"/>
        </w:rPr>
        <w:t xml:space="preserve">Utah Family Coalition and Family Resource Facilitators, New Frontiers for Families, Allies with Families, Utah Support Advocates for Recovery Awareness (USARA), and NAMI-Utah. </w:t>
      </w:r>
    </w:p>
    <w:p w:rsidR="00F576CD" w:rsidRPr="00F576CD" w:rsidRDefault="00F576CD" w:rsidP="00C80065">
      <w:pPr>
        <w:spacing w:after="240"/>
        <w:rPr>
          <w:rFonts w:ascii="Times New Roman" w:hAnsi="Times New Roman"/>
          <w:sz w:val="24"/>
          <w:szCs w:val="24"/>
        </w:rPr>
      </w:pPr>
    </w:p>
    <w:p w:rsidR="00C80065" w:rsidRPr="00181A60" w:rsidRDefault="00C80065" w:rsidP="00C80065">
      <w:pPr>
        <w:spacing w:after="240"/>
        <w:rPr>
          <w:rFonts w:ascii="Times New Roman" w:hAnsi="Times New Roman"/>
          <w:b/>
          <w:i/>
          <w:sz w:val="24"/>
          <w:szCs w:val="24"/>
        </w:rPr>
      </w:pPr>
      <w:r>
        <w:rPr>
          <w:rFonts w:ascii="Times New Roman" w:hAnsi="Times New Roman"/>
          <w:b/>
          <w:i/>
          <w:sz w:val="24"/>
          <w:szCs w:val="24"/>
        </w:rPr>
        <w:t>Data, Methodology, and Assumptions</w:t>
      </w:r>
    </w:p>
    <w:p w:rsidR="00C14A34" w:rsidRDefault="00F576CD" w:rsidP="00C80065">
      <w:pPr>
        <w:spacing w:after="240"/>
        <w:rPr>
          <w:rFonts w:ascii="Times New Roman" w:hAnsi="Times New Roman"/>
          <w:sz w:val="24"/>
          <w:szCs w:val="24"/>
        </w:rPr>
      </w:pPr>
      <w:r>
        <w:rPr>
          <w:rFonts w:ascii="Times New Roman" w:hAnsi="Times New Roman"/>
          <w:sz w:val="24"/>
          <w:szCs w:val="24"/>
        </w:rPr>
        <w:t xml:space="preserve">PCG </w:t>
      </w:r>
      <w:r w:rsidR="00513B01">
        <w:rPr>
          <w:rFonts w:ascii="Times New Roman" w:hAnsi="Times New Roman"/>
          <w:sz w:val="24"/>
          <w:szCs w:val="24"/>
        </w:rPr>
        <w:t>obtained information from</w:t>
      </w:r>
      <w:r>
        <w:rPr>
          <w:rFonts w:ascii="Times New Roman" w:hAnsi="Times New Roman"/>
          <w:sz w:val="24"/>
          <w:szCs w:val="24"/>
        </w:rPr>
        <w:t xml:space="preserve"> the Utah Department of Human Services </w:t>
      </w:r>
      <w:r w:rsidRPr="00D1537F">
        <w:rPr>
          <w:rFonts w:ascii="Times New Roman" w:hAnsi="Times New Roman"/>
          <w:sz w:val="24"/>
          <w:szCs w:val="24"/>
        </w:rPr>
        <w:t>Division of Substance Abuse and Mental Health (DSAMH)</w:t>
      </w:r>
      <w:r>
        <w:rPr>
          <w:rFonts w:ascii="Times New Roman" w:hAnsi="Times New Roman"/>
          <w:sz w:val="24"/>
          <w:szCs w:val="24"/>
        </w:rPr>
        <w:t xml:space="preserve"> and the </w:t>
      </w:r>
      <w:r w:rsidRPr="00F576CD">
        <w:rPr>
          <w:rFonts w:ascii="Times New Roman" w:hAnsi="Times New Roman"/>
          <w:sz w:val="24"/>
          <w:szCs w:val="24"/>
        </w:rPr>
        <w:t>S</w:t>
      </w:r>
      <w:r>
        <w:rPr>
          <w:rFonts w:ascii="Times New Roman" w:hAnsi="Times New Roman"/>
          <w:sz w:val="24"/>
          <w:szCs w:val="24"/>
        </w:rPr>
        <w:t xml:space="preserve">alt </w:t>
      </w:r>
      <w:r w:rsidRPr="00F576CD">
        <w:rPr>
          <w:rFonts w:ascii="Times New Roman" w:hAnsi="Times New Roman"/>
          <w:sz w:val="24"/>
          <w:szCs w:val="24"/>
        </w:rPr>
        <w:t>L</w:t>
      </w:r>
      <w:r>
        <w:rPr>
          <w:rFonts w:ascii="Times New Roman" w:hAnsi="Times New Roman"/>
          <w:sz w:val="24"/>
          <w:szCs w:val="24"/>
        </w:rPr>
        <w:t>ake</w:t>
      </w:r>
      <w:r w:rsidRPr="00F576CD">
        <w:rPr>
          <w:rFonts w:ascii="Times New Roman" w:hAnsi="Times New Roman"/>
          <w:sz w:val="24"/>
          <w:szCs w:val="24"/>
        </w:rPr>
        <w:t xml:space="preserve"> County Div</w:t>
      </w:r>
      <w:r>
        <w:rPr>
          <w:rFonts w:ascii="Times New Roman" w:hAnsi="Times New Roman"/>
          <w:sz w:val="24"/>
          <w:szCs w:val="24"/>
        </w:rPr>
        <w:t>ision</w:t>
      </w:r>
      <w:r w:rsidRPr="00F576CD">
        <w:rPr>
          <w:rFonts w:ascii="Times New Roman" w:hAnsi="Times New Roman"/>
          <w:sz w:val="24"/>
          <w:szCs w:val="24"/>
        </w:rPr>
        <w:t xml:space="preserve"> of Behavioral Health Services</w:t>
      </w:r>
      <w:r>
        <w:rPr>
          <w:rFonts w:ascii="Times New Roman" w:hAnsi="Times New Roman"/>
          <w:sz w:val="24"/>
          <w:szCs w:val="24"/>
        </w:rPr>
        <w:t xml:space="preserve"> in order to gain an understanding of current state and local programs. </w:t>
      </w:r>
      <w:r w:rsidR="00513B01">
        <w:rPr>
          <w:rFonts w:ascii="Times New Roman" w:hAnsi="Times New Roman"/>
          <w:sz w:val="24"/>
          <w:szCs w:val="24"/>
        </w:rPr>
        <w:t xml:space="preserve">The </w:t>
      </w:r>
      <w:r>
        <w:rPr>
          <w:rFonts w:ascii="Times New Roman" w:hAnsi="Times New Roman"/>
          <w:sz w:val="24"/>
          <w:szCs w:val="24"/>
        </w:rPr>
        <w:t xml:space="preserve">data </w:t>
      </w:r>
      <w:r w:rsidR="00513B01">
        <w:rPr>
          <w:rFonts w:ascii="Times New Roman" w:hAnsi="Times New Roman"/>
          <w:sz w:val="24"/>
          <w:szCs w:val="24"/>
        </w:rPr>
        <w:t xml:space="preserve">provided </w:t>
      </w:r>
      <w:r>
        <w:rPr>
          <w:rFonts w:ascii="Times New Roman" w:hAnsi="Times New Roman"/>
          <w:sz w:val="24"/>
          <w:szCs w:val="24"/>
        </w:rPr>
        <w:t xml:space="preserve">included figures explaining current enrollment and benefits in the respective programs run by the two entities. Both organizations also supplied projections for future enrollment in the programs and the potential affect of the ACA.  PCG analyzed </w:t>
      </w:r>
      <w:r w:rsidR="00EE6B1E">
        <w:rPr>
          <w:rFonts w:ascii="Times New Roman" w:hAnsi="Times New Roman"/>
          <w:sz w:val="24"/>
          <w:szCs w:val="24"/>
        </w:rPr>
        <w:t xml:space="preserve">and adjusted </w:t>
      </w:r>
      <w:r>
        <w:rPr>
          <w:rFonts w:ascii="Times New Roman" w:hAnsi="Times New Roman"/>
          <w:sz w:val="24"/>
          <w:szCs w:val="24"/>
        </w:rPr>
        <w:t xml:space="preserve">this data utilizing independent assumptions to model the ramifications of Medicaid expansion on these programs.  </w:t>
      </w:r>
    </w:p>
    <w:p w:rsidR="00C14A34" w:rsidRDefault="00C14A34" w:rsidP="00C80065">
      <w:pPr>
        <w:spacing w:after="240"/>
        <w:rPr>
          <w:rFonts w:ascii="Times New Roman" w:hAnsi="Times New Roman"/>
          <w:sz w:val="24"/>
          <w:szCs w:val="24"/>
        </w:rPr>
      </w:pPr>
      <w:r>
        <w:rPr>
          <w:rFonts w:ascii="Times New Roman" w:hAnsi="Times New Roman"/>
          <w:sz w:val="24"/>
          <w:szCs w:val="24"/>
        </w:rPr>
        <w:t xml:space="preserve">In order to determine the potential costs </w:t>
      </w:r>
      <w:r w:rsidR="00196BDC">
        <w:rPr>
          <w:rFonts w:ascii="Times New Roman" w:hAnsi="Times New Roman"/>
          <w:sz w:val="24"/>
          <w:szCs w:val="24"/>
        </w:rPr>
        <w:t>and/or</w:t>
      </w:r>
      <w:r>
        <w:rPr>
          <w:rFonts w:ascii="Times New Roman" w:hAnsi="Times New Roman"/>
          <w:sz w:val="24"/>
          <w:szCs w:val="24"/>
        </w:rPr>
        <w:t xml:space="preserve"> savings to the state, PCG used the data it received to first project the costs to the state of administering the current program in future years without expansion.  Next, PCG determined the costs to Utah to cover the expansion population.  Finally, the difference in the cost to the state of the current program verses under expansion was determined over the time horizon.  </w:t>
      </w:r>
      <w:r w:rsidR="002A553B">
        <w:rPr>
          <w:rFonts w:ascii="Times New Roman" w:hAnsi="Times New Roman"/>
          <w:sz w:val="24"/>
          <w:szCs w:val="24"/>
        </w:rPr>
        <w:t xml:space="preserve">Only state spending in the current program was used in this analysis, </w:t>
      </w:r>
      <w:r w:rsidR="00B75F12">
        <w:rPr>
          <w:rFonts w:ascii="Times New Roman" w:hAnsi="Times New Roman"/>
          <w:sz w:val="24"/>
          <w:szCs w:val="24"/>
        </w:rPr>
        <w:t>f</w:t>
      </w:r>
      <w:r w:rsidR="002A553B">
        <w:rPr>
          <w:rFonts w:ascii="Times New Roman" w:hAnsi="Times New Roman"/>
          <w:sz w:val="24"/>
          <w:szCs w:val="24"/>
        </w:rPr>
        <w:t>ederal matching and grant funds that comprise the total program costs were not included in this analysis in order to avoid confusion between the two pay</w:t>
      </w:r>
      <w:r w:rsidR="00B75F12">
        <w:rPr>
          <w:rFonts w:ascii="Times New Roman" w:hAnsi="Times New Roman"/>
          <w:sz w:val="24"/>
          <w:szCs w:val="24"/>
        </w:rPr>
        <w:t>e</w:t>
      </w:r>
      <w:r w:rsidR="002A553B">
        <w:rPr>
          <w:rFonts w:ascii="Times New Roman" w:hAnsi="Times New Roman"/>
          <w:sz w:val="24"/>
          <w:szCs w:val="24"/>
        </w:rPr>
        <w:t>rs.</w:t>
      </w:r>
    </w:p>
    <w:p w:rsidR="00F576CD" w:rsidRDefault="00513B01" w:rsidP="00C80065">
      <w:pPr>
        <w:spacing w:after="240"/>
        <w:rPr>
          <w:rFonts w:ascii="Times New Roman" w:hAnsi="Times New Roman"/>
          <w:sz w:val="24"/>
          <w:szCs w:val="24"/>
        </w:rPr>
      </w:pPr>
      <w:r>
        <w:rPr>
          <w:rFonts w:ascii="Times New Roman" w:hAnsi="Times New Roman"/>
          <w:sz w:val="24"/>
          <w:szCs w:val="24"/>
        </w:rPr>
        <w:lastRenderedPageBreak/>
        <w:t xml:space="preserve">PCG used the DSAMH </w:t>
      </w:r>
      <w:r w:rsidR="003402EB">
        <w:rPr>
          <w:rFonts w:ascii="Times New Roman" w:hAnsi="Times New Roman"/>
          <w:sz w:val="24"/>
          <w:szCs w:val="24"/>
        </w:rPr>
        <w:t xml:space="preserve">original </w:t>
      </w:r>
      <w:r>
        <w:rPr>
          <w:rFonts w:ascii="Times New Roman" w:hAnsi="Times New Roman"/>
          <w:sz w:val="24"/>
          <w:szCs w:val="24"/>
        </w:rPr>
        <w:t xml:space="preserve">estimates for the population that will be covered by this benefit.  In addition, </w:t>
      </w:r>
      <w:r w:rsidR="00F576CD">
        <w:rPr>
          <w:rFonts w:ascii="Times New Roman" w:hAnsi="Times New Roman"/>
          <w:sz w:val="24"/>
          <w:szCs w:val="24"/>
        </w:rPr>
        <w:t>PCG assum</w:t>
      </w:r>
      <w:r w:rsidR="00C14A34">
        <w:rPr>
          <w:rFonts w:ascii="Times New Roman" w:hAnsi="Times New Roman"/>
          <w:sz w:val="24"/>
          <w:szCs w:val="24"/>
        </w:rPr>
        <w:t>ptions include the following</w:t>
      </w:r>
      <w:r w:rsidR="00F576CD">
        <w:rPr>
          <w:rFonts w:ascii="Times New Roman" w:hAnsi="Times New Roman"/>
          <w:sz w:val="24"/>
          <w:szCs w:val="24"/>
        </w:rPr>
        <w:t>:</w:t>
      </w:r>
    </w:p>
    <w:p w:rsidR="00C80065" w:rsidRDefault="00F576CD" w:rsidP="00386411">
      <w:pPr>
        <w:pStyle w:val="ListParagraph"/>
        <w:numPr>
          <w:ilvl w:val="0"/>
          <w:numId w:val="4"/>
        </w:numPr>
        <w:spacing w:after="240"/>
        <w:rPr>
          <w:rFonts w:ascii="Times New Roman" w:hAnsi="Times New Roman"/>
          <w:sz w:val="24"/>
          <w:szCs w:val="24"/>
        </w:rPr>
      </w:pPr>
      <w:r>
        <w:rPr>
          <w:rFonts w:ascii="Times New Roman" w:hAnsi="Times New Roman"/>
          <w:sz w:val="24"/>
          <w:szCs w:val="24"/>
        </w:rPr>
        <w:t>The b</w:t>
      </w:r>
      <w:r w:rsidRPr="00F576CD">
        <w:rPr>
          <w:rFonts w:ascii="Times New Roman" w:hAnsi="Times New Roman"/>
          <w:sz w:val="24"/>
          <w:szCs w:val="24"/>
        </w:rPr>
        <w:t xml:space="preserve">ehavioral health population would grow at the same rate as the general population </w:t>
      </w:r>
      <w:r>
        <w:rPr>
          <w:rFonts w:ascii="Times New Roman" w:hAnsi="Times New Roman"/>
          <w:sz w:val="24"/>
          <w:szCs w:val="24"/>
        </w:rPr>
        <w:t>used elsewhere in the PCG-MESM</w:t>
      </w:r>
      <w:r w:rsidR="00B75F12">
        <w:rPr>
          <w:rFonts w:ascii="Times New Roman" w:hAnsi="Times New Roman"/>
          <w:sz w:val="24"/>
          <w:szCs w:val="24"/>
        </w:rPr>
        <w:t>,</w:t>
      </w:r>
    </w:p>
    <w:p w:rsidR="0068412E" w:rsidRDefault="0068412E" w:rsidP="00386411">
      <w:pPr>
        <w:pStyle w:val="ListParagraph"/>
        <w:numPr>
          <w:ilvl w:val="0"/>
          <w:numId w:val="4"/>
        </w:numPr>
        <w:spacing w:after="240"/>
        <w:rPr>
          <w:rFonts w:ascii="Times New Roman" w:hAnsi="Times New Roman"/>
          <w:sz w:val="24"/>
          <w:szCs w:val="24"/>
        </w:rPr>
      </w:pPr>
      <w:r>
        <w:rPr>
          <w:rFonts w:ascii="Times New Roman" w:hAnsi="Times New Roman"/>
          <w:sz w:val="24"/>
          <w:szCs w:val="24"/>
        </w:rPr>
        <w:t>Current FMAP’s will continue for the existing population and the newly eligible population will receive the ACA’s enhanced FMAP,</w:t>
      </w:r>
    </w:p>
    <w:p w:rsidR="009C607C" w:rsidRDefault="00F576CD" w:rsidP="00386411">
      <w:pPr>
        <w:pStyle w:val="ListParagraph"/>
        <w:numPr>
          <w:ilvl w:val="0"/>
          <w:numId w:val="4"/>
        </w:numPr>
        <w:spacing w:after="240"/>
        <w:rPr>
          <w:rFonts w:ascii="Times New Roman" w:hAnsi="Times New Roman"/>
          <w:sz w:val="24"/>
          <w:szCs w:val="24"/>
        </w:rPr>
      </w:pPr>
      <w:r w:rsidRPr="00F576CD">
        <w:rPr>
          <w:rFonts w:ascii="Times New Roman" w:hAnsi="Times New Roman"/>
          <w:sz w:val="24"/>
          <w:szCs w:val="24"/>
        </w:rPr>
        <w:t>The Utah expansion benefit will include full coverage for these services</w:t>
      </w:r>
      <w:r w:rsidR="00B75F12">
        <w:rPr>
          <w:rFonts w:ascii="Times New Roman" w:hAnsi="Times New Roman"/>
          <w:sz w:val="24"/>
          <w:szCs w:val="24"/>
        </w:rPr>
        <w:t>.</w:t>
      </w:r>
    </w:p>
    <w:p w:rsidR="00DB5908" w:rsidRDefault="00DB5908" w:rsidP="00386411">
      <w:pPr>
        <w:pStyle w:val="ListParagraph"/>
        <w:numPr>
          <w:ilvl w:val="0"/>
          <w:numId w:val="4"/>
        </w:numPr>
        <w:spacing w:after="240"/>
        <w:rPr>
          <w:rFonts w:ascii="Times New Roman" w:hAnsi="Times New Roman"/>
          <w:sz w:val="24"/>
          <w:szCs w:val="24"/>
        </w:rPr>
      </w:pPr>
      <w:r>
        <w:rPr>
          <w:rFonts w:ascii="Times New Roman" w:hAnsi="Times New Roman"/>
          <w:sz w:val="24"/>
          <w:szCs w:val="24"/>
        </w:rPr>
        <w:t>Current state and county spending split will reflect that shown in historical data provided by the state. State officials have indicated an expectation this may change in future years with a push towards more spending on the state side.  However, PCG has chosen to apply historical data in order to create the state and county spending split as historical data is preferred whenever possible.</w:t>
      </w:r>
      <w:r w:rsidR="00662613">
        <w:rPr>
          <w:rFonts w:ascii="Times New Roman" w:hAnsi="Times New Roman"/>
          <w:sz w:val="24"/>
          <w:szCs w:val="24"/>
        </w:rPr>
        <w:t xml:space="preserve">  This percentage is shown in the following charts.</w:t>
      </w:r>
    </w:p>
    <w:p w:rsidR="0068412E" w:rsidRDefault="00D86DB5" w:rsidP="00644319">
      <w:pPr>
        <w:spacing w:after="240"/>
        <w:rPr>
          <w:rFonts w:ascii="Times New Roman" w:hAnsi="Times New Roman"/>
          <w:sz w:val="24"/>
          <w:szCs w:val="24"/>
        </w:rPr>
      </w:pPr>
      <w:r>
        <w:rPr>
          <w:rFonts w:ascii="Times New Roman" w:hAnsi="Times New Roman"/>
          <w:sz w:val="24"/>
          <w:szCs w:val="24"/>
        </w:rPr>
        <w:t xml:space="preserve">Savings and costs are shown on both a state and county level.  </w:t>
      </w:r>
      <w:r w:rsidR="00513B01">
        <w:rPr>
          <w:rFonts w:ascii="Times New Roman" w:hAnsi="Times New Roman"/>
          <w:sz w:val="24"/>
          <w:szCs w:val="24"/>
        </w:rPr>
        <w:t xml:space="preserve">Historical </w:t>
      </w:r>
      <w:r>
        <w:rPr>
          <w:rFonts w:ascii="Times New Roman" w:hAnsi="Times New Roman"/>
          <w:sz w:val="24"/>
          <w:szCs w:val="24"/>
        </w:rPr>
        <w:t xml:space="preserve">costs were analyzed for the respective spending by the state and </w:t>
      </w:r>
      <w:r w:rsidR="00513B01">
        <w:rPr>
          <w:rFonts w:ascii="Times New Roman" w:hAnsi="Times New Roman"/>
          <w:sz w:val="24"/>
          <w:szCs w:val="24"/>
        </w:rPr>
        <w:t xml:space="preserve">counties </w:t>
      </w:r>
      <w:r>
        <w:rPr>
          <w:rFonts w:ascii="Times New Roman" w:hAnsi="Times New Roman"/>
          <w:sz w:val="24"/>
          <w:szCs w:val="24"/>
        </w:rPr>
        <w:t xml:space="preserve">and costs and savings were distributed to each in respective fashion.  </w:t>
      </w:r>
    </w:p>
    <w:p w:rsidR="00D86DB5" w:rsidRDefault="00D86DB5" w:rsidP="00644319">
      <w:pPr>
        <w:spacing w:after="240"/>
        <w:rPr>
          <w:rFonts w:ascii="Times New Roman" w:hAnsi="Times New Roman"/>
          <w:sz w:val="24"/>
          <w:szCs w:val="24"/>
        </w:rPr>
      </w:pPr>
      <w:r>
        <w:rPr>
          <w:rFonts w:ascii="Times New Roman" w:hAnsi="Times New Roman"/>
          <w:sz w:val="24"/>
          <w:szCs w:val="24"/>
        </w:rPr>
        <w:t xml:space="preserve">The following charts show the data for mental health and substance use disorder (SUD) and then a combined total for all of behavioral health.  Initial savings in mental health are eventually </w:t>
      </w:r>
      <w:r w:rsidR="00513B01">
        <w:rPr>
          <w:rFonts w:ascii="Times New Roman" w:hAnsi="Times New Roman"/>
          <w:sz w:val="24"/>
          <w:szCs w:val="24"/>
        </w:rPr>
        <w:t xml:space="preserve">offset </w:t>
      </w:r>
      <w:r>
        <w:rPr>
          <w:rFonts w:ascii="Times New Roman" w:hAnsi="Times New Roman"/>
          <w:sz w:val="24"/>
          <w:szCs w:val="24"/>
        </w:rPr>
        <w:t>by the combination of increased Medicaid caseload and decreased federal financial participation for the expansion population.  For SUD, savings are seen throughout the length of the analysis due to the significant increase in federal participation compared to non-expansion scenarios.</w:t>
      </w:r>
    </w:p>
    <w:p w:rsidR="00D86DB5" w:rsidRDefault="00D86DB5" w:rsidP="00644319">
      <w:pPr>
        <w:spacing w:after="240"/>
        <w:rPr>
          <w:rFonts w:ascii="Times New Roman" w:hAnsi="Times New Roman"/>
          <w:sz w:val="24"/>
          <w:szCs w:val="24"/>
        </w:rPr>
        <w:sectPr w:rsidR="00D86DB5" w:rsidSect="00AF4ACC">
          <w:pgSz w:w="12240" w:h="15840"/>
          <w:pgMar w:top="576" w:right="1440" w:bottom="288" w:left="1440" w:header="720" w:footer="720" w:gutter="0"/>
          <w:cols w:space="720"/>
          <w:docGrid w:linePitch="360"/>
        </w:sectPr>
      </w:pPr>
      <w:r>
        <w:rPr>
          <w:rFonts w:ascii="Times New Roman" w:hAnsi="Times New Roman"/>
          <w:sz w:val="24"/>
          <w:szCs w:val="24"/>
        </w:rPr>
        <w:t>The final savings figure compares the costs to the state and county of running current programs inflated into future years (using</w:t>
      </w:r>
      <w:r w:rsidR="0018219C">
        <w:rPr>
          <w:rFonts w:ascii="Times New Roman" w:hAnsi="Times New Roman"/>
          <w:sz w:val="24"/>
          <w:szCs w:val="24"/>
        </w:rPr>
        <w:t xml:space="preserve"> the population growth rate shown in the charts as the inflation factor</w:t>
      </w:r>
      <w:r>
        <w:rPr>
          <w:rFonts w:ascii="Times New Roman" w:hAnsi="Times New Roman"/>
          <w:sz w:val="24"/>
          <w:szCs w:val="24"/>
        </w:rPr>
        <w:t xml:space="preserve">) verses the state and county share of </w:t>
      </w:r>
      <w:r w:rsidR="003E7F4F">
        <w:rPr>
          <w:rFonts w:ascii="Times New Roman" w:hAnsi="Times New Roman"/>
          <w:sz w:val="24"/>
          <w:szCs w:val="24"/>
        </w:rPr>
        <w:t xml:space="preserve">the programs under expansion.  </w:t>
      </w:r>
    </w:p>
    <w:p w:rsidR="00C428F8" w:rsidRDefault="00C428F8" w:rsidP="00C428F8">
      <w:pPr>
        <w:spacing w:after="240"/>
        <w:rPr>
          <w:rFonts w:ascii="Times New Roman" w:hAnsi="Times New Roman"/>
          <w:b/>
          <w:i/>
          <w:sz w:val="24"/>
          <w:szCs w:val="24"/>
        </w:rPr>
      </w:pPr>
      <w:r>
        <w:rPr>
          <w:rFonts w:ascii="Times New Roman" w:hAnsi="Times New Roman"/>
          <w:b/>
          <w:i/>
          <w:sz w:val="24"/>
          <w:szCs w:val="24"/>
        </w:rPr>
        <w:lastRenderedPageBreak/>
        <w:t>Data Output: Behavioral Health Services</w:t>
      </w:r>
    </w:p>
    <w:p w:rsidR="00C428F8" w:rsidRDefault="00C428F8" w:rsidP="00C428F8">
      <w:pPr>
        <w:spacing w:after="0" w:line="240" w:lineRule="auto"/>
        <w:rPr>
          <w:rFonts w:ascii="Times New Roman" w:hAnsi="Times New Roman"/>
          <w:sz w:val="24"/>
          <w:szCs w:val="24"/>
        </w:rPr>
      </w:pPr>
    </w:p>
    <w:p w:rsidR="00C428F8" w:rsidRDefault="003E7F4F" w:rsidP="00644319">
      <w:pPr>
        <w:spacing w:after="240"/>
        <w:rPr>
          <w:rFonts w:ascii="Times New Roman" w:hAnsi="Times New Roman"/>
          <w:sz w:val="24"/>
          <w:szCs w:val="24"/>
        </w:rPr>
      </w:pPr>
      <w:r>
        <w:rPr>
          <w:rFonts w:ascii="Times New Roman" w:hAnsi="Times New Roman"/>
          <w:sz w:val="24"/>
          <w:szCs w:val="24"/>
        </w:rPr>
        <w:t>Behavioral Health Summary Chart:</w:t>
      </w:r>
    </w:p>
    <w:p w:rsidR="003E7F4F" w:rsidRDefault="00077EF2" w:rsidP="00644319">
      <w:pPr>
        <w:spacing w:after="240"/>
        <w:rPr>
          <w:rFonts w:ascii="Times New Roman" w:hAnsi="Times New Roman"/>
          <w:sz w:val="24"/>
          <w:szCs w:val="24"/>
        </w:rPr>
      </w:pPr>
      <w:r w:rsidRPr="00077EF2">
        <w:rPr>
          <w:noProof/>
          <w:szCs w:val="24"/>
          <w:lang w:eastAsia="en-US"/>
        </w:rPr>
        <w:drawing>
          <wp:inline distT="0" distB="0" distL="0" distR="0">
            <wp:extent cx="9509760" cy="210091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9509760" cy="2100917"/>
                    </a:xfrm>
                    <a:prstGeom prst="rect">
                      <a:avLst/>
                    </a:prstGeom>
                    <a:noFill/>
                    <a:ln w="9525">
                      <a:noFill/>
                      <a:miter lim="800000"/>
                      <a:headEnd/>
                      <a:tailEnd/>
                    </a:ln>
                  </pic:spPr>
                </pic:pic>
              </a:graphicData>
            </a:graphic>
          </wp:inline>
        </w:drawing>
      </w:r>
    </w:p>
    <w:p w:rsidR="003E7F4F" w:rsidRDefault="003E7F4F">
      <w:pPr>
        <w:spacing w:after="0" w:line="240" w:lineRule="auto"/>
        <w:rPr>
          <w:rFonts w:ascii="Times New Roman" w:hAnsi="Times New Roman"/>
          <w:sz w:val="24"/>
          <w:szCs w:val="24"/>
        </w:rPr>
      </w:pPr>
    </w:p>
    <w:p w:rsidR="00E7405F" w:rsidRDefault="00E7405F">
      <w:pPr>
        <w:spacing w:after="0" w:line="240" w:lineRule="auto"/>
        <w:rPr>
          <w:rFonts w:ascii="Times New Roman" w:hAnsi="Times New Roman"/>
          <w:sz w:val="24"/>
          <w:szCs w:val="24"/>
        </w:rPr>
      </w:pPr>
    </w:p>
    <w:p w:rsidR="00E7405F" w:rsidRDefault="00E7405F">
      <w:pPr>
        <w:spacing w:after="0" w:line="240" w:lineRule="auto"/>
        <w:rPr>
          <w:rFonts w:ascii="Times New Roman" w:hAnsi="Times New Roman"/>
          <w:sz w:val="24"/>
          <w:szCs w:val="24"/>
        </w:rPr>
        <w:sectPr w:rsidR="00E7405F" w:rsidSect="00C428F8">
          <w:pgSz w:w="15840" w:h="12240" w:orient="landscape"/>
          <w:pgMar w:top="1440" w:right="576" w:bottom="1440" w:left="288" w:header="720" w:footer="720" w:gutter="0"/>
          <w:cols w:space="720"/>
          <w:docGrid w:linePitch="360"/>
        </w:sectPr>
      </w:pPr>
    </w:p>
    <w:p w:rsidR="003E7F4F" w:rsidRDefault="003E7F4F">
      <w:pPr>
        <w:spacing w:after="0" w:line="240" w:lineRule="auto"/>
        <w:rPr>
          <w:rFonts w:ascii="Times New Roman" w:hAnsi="Times New Roman"/>
          <w:sz w:val="24"/>
          <w:szCs w:val="24"/>
        </w:rPr>
      </w:pPr>
    </w:p>
    <w:p w:rsidR="003E7F4F" w:rsidRDefault="003E7F4F" w:rsidP="003E7F4F">
      <w:pPr>
        <w:spacing w:after="0" w:line="240" w:lineRule="auto"/>
        <w:rPr>
          <w:rFonts w:ascii="Times New Roman" w:hAnsi="Times New Roman"/>
          <w:sz w:val="24"/>
          <w:szCs w:val="24"/>
        </w:rPr>
      </w:pPr>
      <w:r>
        <w:rPr>
          <w:rFonts w:ascii="Times New Roman" w:hAnsi="Times New Roman"/>
          <w:sz w:val="24"/>
          <w:szCs w:val="24"/>
        </w:rPr>
        <w:t xml:space="preserve">Mental Health </w:t>
      </w:r>
      <w:r w:rsidR="00C14A0E">
        <w:rPr>
          <w:rFonts w:ascii="Times New Roman" w:hAnsi="Times New Roman"/>
          <w:sz w:val="24"/>
          <w:szCs w:val="24"/>
        </w:rPr>
        <w:t>Detail Chart</w:t>
      </w:r>
      <w:r w:rsidR="005F74C9">
        <w:rPr>
          <w:rFonts w:ascii="Times New Roman" w:hAnsi="Times New Roman"/>
          <w:sz w:val="24"/>
          <w:szCs w:val="24"/>
        </w:rPr>
        <w:t xml:space="preserve"> (1/2)</w:t>
      </w:r>
    </w:p>
    <w:p w:rsidR="005F74C9" w:rsidRDefault="005F74C9" w:rsidP="003E7F4F">
      <w:pPr>
        <w:spacing w:after="0" w:line="240" w:lineRule="auto"/>
        <w:rPr>
          <w:rFonts w:ascii="Times New Roman" w:hAnsi="Times New Roman"/>
          <w:sz w:val="24"/>
          <w:szCs w:val="24"/>
        </w:rPr>
      </w:pPr>
    </w:p>
    <w:p w:rsidR="005F74C9" w:rsidRDefault="00077EF2" w:rsidP="003E7F4F">
      <w:pPr>
        <w:spacing w:after="0" w:line="240" w:lineRule="auto"/>
        <w:rPr>
          <w:rFonts w:ascii="Times New Roman" w:hAnsi="Times New Roman"/>
          <w:sz w:val="24"/>
          <w:szCs w:val="24"/>
        </w:rPr>
      </w:pPr>
      <w:r w:rsidRPr="00077EF2">
        <w:rPr>
          <w:noProof/>
          <w:szCs w:val="24"/>
          <w:lang w:eastAsia="en-US"/>
        </w:rPr>
        <w:drawing>
          <wp:inline distT="0" distB="0" distL="0" distR="0">
            <wp:extent cx="5943600" cy="6421477"/>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5943600" cy="6421477"/>
                    </a:xfrm>
                    <a:prstGeom prst="rect">
                      <a:avLst/>
                    </a:prstGeom>
                    <a:noFill/>
                    <a:ln w="9525">
                      <a:noFill/>
                      <a:miter lim="800000"/>
                      <a:headEnd/>
                      <a:tailEnd/>
                    </a:ln>
                  </pic:spPr>
                </pic:pic>
              </a:graphicData>
            </a:graphic>
          </wp:inline>
        </w:drawing>
      </w:r>
    </w:p>
    <w:p w:rsidR="00290145" w:rsidRDefault="00290145" w:rsidP="00290145">
      <w:pPr>
        <w:spacing w:after="0" w:line="240" w:lineRule="auto"/>
        <w:rPr>
          <w:rFonts w:ascii="Times New Roman" w:hAnsi="Times New Roman"/>
          <w:sz w:val="24"/>
          <w:szCs w:val="24"/>
        </w:rPr>
      </w:pPr>
    </w:p>
    <w:p w:rsidR="00E7405F" w:rsidRDefault="00E7405F" w:rsidP="00290145">
      <w:pPr>
        <w:spacing w:after="0" w:line="240" w:lineRule="auto"/>
        <w:rPr>
          <w:rFonts w:ascii="Times New Roman" w:hAnsi="Times New Roman"/>
          <w:sz w:val="24"/>
          <w:szCs w:val="24"/>
        </w:rPr>
      </w:pPr>
    </w:p>
    <w:p w:rsidR="00290145" w:rsidRDefault="00290145" w:rsidP="00290145">
      <w:pPr>
        <w:spacing w:after="0" w:line="240" w:lineRule="auto"/>
        <w:rPr>
          <w:rFonts w:ascii="Times New Roman" w:hAnsi="Times New Roman"/>
          <w:sz w:val="24"/>
          <w:szCs w:val="24"/>
        </w:rPr>
        <w:sectPr w:rsidR="00290145" w:rsidSect="00E7405F">
          <w:pgSz w:w="12240" w:h="15840"/>
          <w:pgMar w:top="576" w:right="1440" w:bottom="288" w:left="1440" w:header="720" w:footer="720" w:gutter="0"/>
          <w:cols w:space="720"/>
          <w:docGrid w:linePitch="360"/>
        </w:sectPr>
      </w:pPr>
    </w:p>
    <w:p w:rsidR="005F74C9" w:rsidRDefault="005F74C9" w:rsidP="005F74C9">
      <w:pPr>
        <w:spacing w:after="0" w:line="240" w:lineRule="auto"/>
        <w:rPr>
          <w:rFonts w:ascii="Times New Roman" w:hAnsi="Times New Roman"/>
          <w:sz w:val="24"/>
          <w:szCs w:val="24"/>
        </w:rPr>
      </w:pPr>
      <w:r>
        <w:rPr>
          <w:rFonts w:ascii="Times New Roman" w:hAnsi="Times New Roman"/>
          <w:sz w:val="24"/>
          <w:szCs w:val="24"/>
        </w:rPr>
        <w:lastRenderedPageBreak/>
        <w:t>Mental Health Detail Chart (2/2)</w:t>
      </w:r>
    </w:p>
    <w:p w:rsidR="005F74C9" w:rsidRDefault="005F74C9">
      <w:pPr>
        <w:spacing w:after="0" w:line="240" w:lineRule="auto"/>
        <w:rPr>
          <w:rFonts w:ascii="Times New Roman" w:hAnsi="Times New Roman"/>
          <w:sz w:val="24"/>
          <w:szCs w:val="24"/>
        </w:rPr>
      </w:pPr>
    </w:p>
    <w:p w:rsidR="00424819" w:rsidRDefault="00846F85">
      <w:pPr>
        <w:spacing w:after="0" w:line="240" w:lineRule="auto"/>
        <w:rPr>
          <w:rFonts w:ascii="Times New Roman" w:hAnsi="Times New Roman"/>
          <w:sz w:val="24"/>
          <w:szCs w:val="24"/>
        </w:rPr>
        <w:sectPr w:rsidR="00424819" w:rsidSect="00AF4ACC">
          <w:pgSz w:w="12240" w:h="15840"/>
          <w:pgMar w:top="576" w:right="1440" w:bottom="288" w:left="1440" w:header="720" w:footer="720" w:gutter="0"/>
          <w:cols w:space="720"/>
          <w:docGrid w:linePitch="360"/>
        </w:sectPr>
      </w:pPr>
      <w:r w:rsidRPr="00846F85">
        <w:rPr>
          <w:noProof/>
          <w:szCs w:val="24"/>
          <w:lang w:eastAsia="en-US"/>
        </w:rPr>
        <w:drawing>
          <wp:inline distT="0" distB="0" distL="0" distR="0">
            <wp:extent cx="5943600" cy="6539785"/>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5943600" cy="6539785"/>
                    </a:xfrm>
                    <a:prstGeom prst="rect">
                      <a:avLst/>
                    </a:prstGeom>
                    <a:noFill/>
                    <a:ln w="9525">
                      <a:noFill/>
                      <a:miter lim="800000"/>
                      <a:headEnd/>
                      <a:tailEnd/>
                    </a:ln>
                  </pic:spPr>
                </pic:pic>
              </a:graphicData>
            </a:graphic>
          </wp:inline>
        </w:drawing>
      </w:r>
      <w:r w:rsidR="005F74C9">
        <w:rPr>
          <w:rFonts w:ascii="Times New Roman" w:hAnsi="Times New Roman"/>
          <w:sz w:val="24"/>
          <w:szCs w:val="24"/>
        </w:rPr>
        <w:br w:type="page"/>
      </w:r>
    </w:p>
    <w:p w:rsidR="003E7F4F" w:rsidRDefault="003E7F4F">
      <w:pPr>
        <w:spacing w:after="0" w:line="240" w:lineRule="auto"/>
        <w:rPr>
          <w:rFonts w:ascii="Times New Roman" w:hAnsi="Times New Roman"/>
          <w:sz w:val="24"/>
          <w:szCs w:val="24"/>
        </w:rPr>
      </w:pPr>
      <w:r>
        <w:rPr>
          <w:rFonts w:ascii="Times New Roman" w:hAnsi="Times New Roman"/>
          <w:sz w:val="24"/>
          <w:szCs w:val="24"/>
        </w:rPr>
        <w:lastRenderedPageBreak/>
        <w:t xml:space="preserve">Substance Use Disorder </w:t>
      </w:r>
      <w:r w:rsidR="00C14A0E">
        <w:rPr>
          <w:rFonts w:ascii="Times New Roman" w:hAnsi="Times New Roman"/>
          <w:sz w:val="24"/>
          <w:szCs w:val="24"/>
        </w:rPr>
        <w:t>Detail</w:t>
      </w:r>
      <w:r>
        <w:rPr>
          <w:rFonts w:ascii="Times New Roman" w:hAnsi="Times New Roman"/>
          <w:sz w:val="24"/>
          <w:szCs w:val="24"/>
        </w:rPr>
        <w:t xml:space="preserve"> Chart</w:t>
      </w:r>
      <w:r w:rsidR="0058272F">
        <w:rPr>
          <w:rFonts w:ascii="Times New Roman" w:hAnsi="Times New Roman"/>
          <w:sz w:val="24"/>
          <w:szCs w:val="24"/>
        </w:rPr>
        <w:t xml:space="preserve"> (1/2)</w:t>
      </w:r>
    </w:p>
    <w:p w:rsidR="00424819" w:rsidRDefault="00424819">
      <w:pPr>
        <w:spacing w:after="0" w:line="240" w:lineRule="auto"/>
        <w:rPr>
          <w:rFonts w:ascii="Times New Roman" w:hAnsi="Times New Roman"/>
          <w:sz w:val="24"/>
          <w:szCs w:val="24"/>
        </w:rPr>
      </w:pPr>
    </w:p>
    <w:p w:rsidR="00424819" w:rsidRDefault="001C274B">
      <w:pPr>
        <w:spacing w:after="0" w:line="240" w:lineRule="auto"/>
        <w:rPr>
          <w:rFonts w:ascii="Times New Roman" w:hAnsi="Times New Roman"/>
          <w:sz w:val="24"/>
          <w:szCs w:val="24"/>
        </w:rPr>
      </w:pPr>
      <w:r w:rsidRPr="001C274B">
        <w:rPr>
          <w:noProof/>
          <w:szCs w:val="24"/>
          <w:lang w:eastAsia="en-US"/>
        </w:rPr>
        <w:drawing>
          <wp:inline distT="0" distB="0" distL="0" distR="0">
            <wp:extent cx="5943600" cy="6716954"/>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943600" cy="6716954"/>
                    </a:xfrm>
                    <a:prstGeom prst="rect">
                      <a:avLst/>
                    </a:prstGeom>
                    <a:noFill/>
                    <a:ln w="9525">
                      <a:noFill/>
                      <a:miter lim="800000"/>
                      <a:headEnd/>
                      <a:tailEnd/>
                    </a:ln>
                  </pic:spPr>
                </pic:pic>
              </a:graphicData>
            </a:graphic>
          </wp:inline>
        </w:drawing>
      </w:r>
    </w:p>
    <w:p w:rsidR="00424819" w:rsidRDefault="00424819">
      <w:pPr>
        <w:spacing w:after="0" w:line="240" w:lineRule="auto"/>
        <w:rPr>
          <w:rFonts w:ascii="Times New Roman" w:hAnsi="Times New Roman"/>
          <w:sz w:val="24"/>
          <w:szCs w:val="24"/>
        </w:rPr>
      </w:pPr>
    </w:p>
    <w:p w:rsidR="00077EF2" w:rsidRDefault="00077EF2">
      <w:pPr>
        <w:spacing w:after="0" w:line="240" w:lineRule="auto"/>
        <w:rPr>
          <w:rFonts w:ascii="Times New Roman" w:hAnsi="Times New Roman"/>
          <w:sz w:val="24"/>
          <w:szCs w:val="24"/>
        </w:rPr>
      </w:pPr>
      <w:r>
        <w:rPr>
          <w:rFonts w:ascii="Times New Roman" w:hAnsi="Times New Roman"/>
          <w:sz w:val="24"/>
          <w:szCs w:val="24"/>
        </w:rPr>
        <w:br w:type="page"/>
      </w:r>
    </w:p>
    <w:p w:rsidR="0058272F" w:rsidRDefault="0058272F" w:rsidP="0058272F">
      <w:pPr>
        <w:spacing w:after="0" w:line="240" w:lineRule="auto"/>
        <w:rPr>
          <w:rFonts w:ascii="Times New Roman" w:hAnsi="Times New Roman"/>
          <w:sz w:val="24"/>
          <w:szCs w:val="24"/>
        </w:rPr>
      </w:pPr>
      <w:r>
        <w:rPr>
          <w:rFonts w:ascii="Times New Roman" w:hAnsi="Times New Roman"/>
          <w:sz w:val="24"/>
          <w:szCs w:val="24"/>
        </w:rPr>
        <w:lastRenderedPageBreak/>
        <w:t>Substance Use Disorder Detail Chart (2/2)</w:t>
      </w:r>
    </w:p>
    <w:p w:rsidR="003E7F4F" w:rsidRDefault="003E7F4F" w:rsidP="0058272F">
      <w:pPr>
        <w:spacing w:after="0" w:line="240" w:lineRule="auto"/>
        <w:rPr>
          <w:rFonts w:ascii="Times New Roman" w:hAnsi="Times New Roman"/>
          <w:sz w:val="24"/>
          <w:szCs w:val="24"/>
        </w:rPr>
      </w:pPr>
    </w:p>
    <w:p w:rsidR="00290145" w:rsidRDefault="001C274B" w:rsidP="0058272F">
      <w:pPr>
        <w:spacing w:after="0" w:line="240" w:lineRule="auto"/>
        <w:rPr>
          <w:rFonts w:ascii="Times New Roman" w:hAnsi="Times New Roman"/>
          <w:b/>
          <w:sz w:val="24"/>
          <w:szCs w:val="24"/>
        </w:rPr>
      </w:pPr>
      <w:r w:rsidRPr="001C274B">
        <w:rPr>
          <w:noProof/>
          <w:szCs w:val="24"/>
          <w:lang w:eastAsia="en-US"/>
        </w:rPr>
        <w:drawing>
          <wp:inline distT="0" distB="0" distL="0" distR="0">
            <wp:extent cx="5943600" cy="6788184"/>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5943600" cy="6788184"/>
                    </a:xfrm>
                    <a:prstGeom prst="rect">
                      <a:avLst/>
                    </a:prstGeom>
                    <a:noFill/>
                    <a:ln w="9525">
                      <a:noFill/>
                      <a:miter lim="800000"/>
                      <a:headEnd/>
                      <a:tailEnd/>
                    </a:ln>
                  </pic:spPr>
                </pic:pic>
              </a:graphicData>
            </a:graphic>
          </wp:inline>
        </w:drawing>
      </w:r>
      <w:r w:rsidR="00290145">
        <w:rPr>
          <w:rFonts w:ascii="Times New Roman" w:hAnsi="Times New Roman"/>
          <w:b/>
          <w:sz w:val="24"/>
          <w:szCs w:val="24"/>
        </w:rPr>
        <w:br w:type="page"/>
      </w:r>
    </w:p>
    <w:p w:rsidR="00644319" w:rsidRDefault="00644319" w:rsidP="00644319">
      <w:pPr>
        <w:spacing w:after="240"/>
        <w:rPr>
          <w:rFonts w:ascii="Times New Roman" w:hAnsi="Times New Roman"/>
          <w:b/>
          <w:sz w:val="24"/>
          <w:szCs w:val="24"/>
        </w:rPr>
      </w:pPr>
      <w:r>
        <w:rPr>
          <w:rFonts w:ascii="Times New Roman" w:hAnsi="Times New Roman"/>
          <w:b/>
          <w:sz w:val="24"/>
          <w:szCs w:val="24"/>
        </w:rPr>
        <w:lastRenderedPageBreak/>
        <w:t xml:space="preserve">Primary Care Network </w:t>
      </w:r>
    </w:p>
    <w:p w:rsidR="00585A08" w:rsidRDefault="00644319" w:rsidP="00075BD7">
      <w:pPr>
        <w:spacing w:after="240"/>
        <w:rPr>
          <w:rFonts w:ascii="Times New Roman" w:hAnsi="Times New Roman"/>
          <w:sz w:val="24"/>
          <w:szCs w:val="24"/>
        </w:rPr>
      </w:pPr>
      <w:r>
        <w:rPr>
          <w:rFonts w:ascii="Times New Roman" w:hAnsi="Times New Roman"/>
          <w:sz w:val="24"/>
          <w:szCs w:val="24"/>
        </w:rPr>
        <w:t>The Primary Care Network (PCN) program is a health plan</w:t>
      </w:r>
      <w:r w:rsidR="005B25FC">
        <w:rPr>
          <w:rFonts w:ascii="Times New Roman" w:hAnsi="Times New Roman"/>
          <w:sz w:val="24"/>
          <w:szCs w:val="24"/>
        </w:rPr>
        <w:t xml:space="preserve"> for adults offered</w:t>
      </w:r>
      <w:r w:rsidR="00585A08">
        <w:rPr>
          <w:rFonts w:ascii="Times New Roman" w:hAnsi="Times New Roman"/>
          <w:sz w:val="24"/>
          <w:szCs w:val="24"/>
        </w:rPr>
        <w:t xml:space="preserve"> </w:t>
      </w:r>
      <w:r w:rsidR="005B25FC">
        <w:rPr>
          <w:rFonts w:ascii="Times New Roman" w:hAnsi="Times New Roman"/>
          <w:sz w:val="24"/>
          <w:szCs w:val="24"/>
        </w:rPr>
        <w:t xml:space="preserve">by the Utah Department of Health in which the majority of health services provided are in a primary care setting. </w:t>
      </w:r>
      <w:r w:rsidR="00585A08">
        <w:rPr>
          <w:rFonts w:ascii="Times New Roman" w:hAnsi="Times New Roman"/>
          <w:sz w:val="24"/>
          <w:szCs w:val="24"/>
        </w:rPr>
        <w:t xml:space="preserve">  </w:t>
      </w:r>
      <w:r w:rsidR="005B25FC">
        <w:rPr>
          <w:rFonts w:ascii="Times New Roman" w:hAnsi="Times New Roman"/>
          <w:sz w:val="24"/>
          <w:szCs w:val="24"/>
        </w:rPr>
        <w:t>The program falls under Utah’s Section 1115 Waiver</w:t>
      </w:r>
      <w:r w:rsidR="00075BD7">
        <w:rPr>
          <w:rFonts w:ascii="Times New Roman" w:hAnsi="Times New Roman"/>
          <w:sz w:val="24"/>
          <w:szCs w:val="24"/>
        </w:rPr>
        <w:t>.</w:t>
      </w:r>
      <w:r w:rsidR="0061701C">
        <w:rPr>
          <w:rFonts w:ascii="Times New Roman" w:hAnsi="Times New Roman"/>
          <w:sz w:val="24"/>
          <w:szCs w:val="24"/>
        </w:rPr>
        <w:t xml:space="preserve"> Although the waiver contains enrollment caps, PCN enrollment has been limited by available state funding and general averages around 18,000.</w:t>
      </w:r>
      <w:r w:rsidR="00075BD7">
        <w:rPr>
          <w:rFonts w:ascii="Times New Roman" w:hAnsi="Times New Roman"/>
          <w:sz w:val="24"/>
          <w:szCs w:val="24"/>
        </w:rPr>
        <w:t xml:space="preserve">  Adults who qualify for the PCN program are low income individuals, ages 19 – 64 who do not met any eligibility criteria for traditional Medicaid programs. </w:t>
      </w:r>
    </w:p>
    <w:p w:rsidR="0061701C" w:rsidRDefault="00075BD7" w:rsidP="00075BD7">
      <w:pPr>
        <w:spacing w:after="240"/>
        <w:rPr>
          <w:rFonts w:ascii="Times New Roman" w:hAnsi="Times New Roman"/>
          <w:sz w:val="24"/>
          <w:szCs w:val="24"/>
        </w:rPr>
      </w:pPr>
      <w:r>
        <w:rPr>
          <w:rFonts w:ascii="Times New Roman" w:hAnsi="Times New Roman"/>
          <w:sz w:val="24"/>
          <w:szCs w:val="24"/>
        </w:rPr>
        <w:t>Individuals who are currently enrolled in the Primary Care Network would be</w:t>
      </w:r>
      <w:r w:rsidR="0061701C">
        <w:rPr>
          <w:rFonts w:ascii="Times New Roman" w:hAnsi="Times New Roman"/>
          <w:sz w:val="24"/>
          <w:szCs w:val="24"/>
        </w:rPr>
        <w:t xml:space="preserve"> generally</w:t>
      </w:r>
      <w:r>
        <w:rPr>
          <w:rFonts w:ascii="Times New Roman" w:hAnsi="Times New Roman"/>
          <w:sz w:val="24"/>
          <w:szCs w:val="24"/>
        </w:rPr>
        <w:t xml:space="preserve"> eligible for Medicaid under </w:t>
      </w:r>
      <w:r w:rsidR="0061701C">
        <w:rPr>
          <w:rFonts w:ascii="Times New Roman" w:hAnsi="Times New Roman"/>
          <w:sz w:val="24"/>
          <w:szCs w:val="24"/>
        </w:rPr>
        <w:t>an expansion because their incomes are less than 150% FPL.  Under the 100% FPL optional expansion scenarios, the Utah Department of Health has indicated it would likely close the PCN program and encourage higher income PCN clients to apply for coverage though the Health Insurance Exchange, where they would be eligible for premium and cost sharing assistance.</w:t>
      </w:r>
    </w:p>
    <w:p w:rsidR="00075BD7" w:rsidRDefault="0061701C" w:rsidP="00075BD7">
      <w:pPr>
        <w:spacing w:after="240"/>
        <w:rPr>
          <w:rFonts w:ascii="Times New Roman" w:hAnsi="Times New Roman"/>
          <w:sz w:val="24"/>
          <w:szCs w:val="24"/>
        </w:rPr>
      </w:pPr>
      <w:r>
        <w:rPr>
          <w:rFonts w:ascii="Times New Roman" w:hAnsi="Times New Roman"/>
          <w:sz w:val="24"/>
          <w:szCs w:val="24"/>
        </w:rPr>
        <w:t>I</w:t>
      </w:r>
      <w:r w:rsidR="00075BD7">
        <w:rPr>
          <w:rFonts w:ascii="Times New Roman" w:hAnsi="Times New Roman"/>
          <w:sz w:val="24"/>
          <w:szCs w:val="24"/>
        </w:rPr>
        <w:t>ndividuals</w:t>
      </w:r>
      <w:r>
        <w:rPr>
          <w:rFonts w:ascii="Times New Roman" w:hAnsi="Times New Roman"/>
          <w:sz w:val="24"/>
          <w:szCs w:val="24"/>
        </w:rPr>
        <w:t xml:space="preserve"> that lose PCN coverage and move to Medicaid</w:t>
      </w:r>
      <w:r w:rsidR="00075BD7">
        <w:rPr>
          <w:rFonts w:ascii="Times New Roman" w:hAnsi="Times New Roman"/>
          <w:sz w:val="24"/>
          <w:szCs w:val="24"/>
        </w:rPr>
        <w:t xml:space="preserve"> would be </w:t>
      </w:r>
      <w:r>
        <w:rPr>
          <w:rFonts w:ascii="Times New Roman" w:hAnsi="Times New Roman"/>
          <w:sz w:val="24"/>
          <w:szCs w:val="24"/>
        </w:rPr>
        <w:t>considered newly eligible for Medicaid and</w:t>
      </w:r>
      <w:r w:rsidR="00075BD7">
        <w:rPr>
          <w:rFonts w:ascii="Times New Roman" w:hAnsi="Times New Roman"/>
          <w:sz w:val="24"/>
          <w:szCs w:val="24"/>
        </w:rPr>
        <w:t xml:space="preserve"> they would be eligible for the enhanced FMAP.  </w:t>
      </w:r>
      <w:r w:rsidR="00311AC7">
        <w:rPr>
          <w:rFonts w:ascii="Times New Roman" w:hAnsi="Times New Roman"/>
          <w:sz w:val="24"/>
          <w:szCs w:val="24"/>
        </w:rPr>
        <w:t xml:space="preserve">Enrollees in the PCN network were built into the optional expansion scenario in the </w:t>
      </w:r>
      <w:r w:rsidR="00737C72">
        <w:rPr>
          <w:rFonts w:ascii="Times New Roman" w:hAnsi="Times New Roman"/>
          <w:sz w:val="24"/>
          <w:szCs w:val="24"/>
        </w:rPr>
        <w:t>PCG-MESM</w:t>
      </w:r>
      <w:r w:rsidR="00311AC7">
        <w:rPr>
          <w:rFonts w:ascii="Times New Roman" w:hAnsi="Times New Roman"/>
          <w:sz w:val="24"/>
          <w:szCs w:val="24"/>
        </w:rPr>
        <w:t xml:space="preserve"> and their potential costs under Medicaid are accounted </w:t>
      </w:r>
      <w:r w:rsidR="00737C72">
        <w:rPr>
          <w:rFonts w:ascii="Times New Roman" w:hAnsi="Times New Roman"/>
          <w:sz w:val="24"/>
          <w:szCs w:val="24"/>
        </w:rPr>
        <w:t>for</w:t>
      </w:r>
      <w:r w:rsidR="00311AC7">
        <w:rPr>
          <w:rFonts w:ascii="Times New Roman" w:hAnsi="Times New Roman"/>
          <w:sz w:val="24"/>
          <w:szCs w:val="24"/>
        </w:rPr>
        <w:t xml:space="preserve">.  </w:t>
      </w:r>
    </w:p>
    <w:p w:rsidR="00311AC7" w:rsidRDefault="00311AC7" w:rsidP="00075BD7">
      <w:pPr>
        <w:spacing w:after="240"/>
        <w:rPr>
          <w:rFonts w:ascii="Times New Roman" w:hAnsi="Times New Roman"/>
          <w:sz w:val="24"/>
          <w:szCs w:val="24"/>
        </w:rPr>
      </w:pPr>
      <w:r>
        <w:rPr>
          <w:rFonts w:ascii="Times New Roman" w:hAnsi="Times New Roman"/>
          <w:sz w:val="24"/>
          <w:szCs w:val="24"/>
        </w:rPr>
        <w:t xml:space="preserve">In assuming these individuals will be </w:t>
      </w:r>
      <w:r w:rsidR="00737C72">
        <w:rPr>
          <w:rFonts w:ascii="Times New Roman" w:hAnsi="Times New Roman"/>
          <w:sz w:val="24"/>
          <w:szCs w:val="24"/>
        </w:rPr>
        <w:t>enrolled into Medicaid under an</w:t>
      </w:r>
      <w:r>
        <w:rPr>
          <w:rFonts w:ascii="Times New Roman" w:hAnsi="Times New Roman"/>
          <w:sz w:val="24"/>
          <w:szCs w:val="24"/>
        </w:rPr>
        <w:t xml:space="preserve"> optional expansion, the savings that will accrue pending the retirement of the program</w:t>
      </w:r>
      <w:r w:rsidR="002853F5">
        <w:rPr>
          <w:rFonts w:ascii="Times New Roman" w:hAnsi="Times New Roman"/>
          <w:sz w:val="24"/>
          <w:szCs w:val="24"/>
        </w:rPr>
        <w:t xml:space="preserve"> are include</w:t>
      </w:r>
      <w:r w:rsidR="00737C72">
        <w:rPr>
          <w:rFonts w:ascii="Times New Roman" w:hAnsi="Times New Roman"/>
          <w:sz w:val="24"/>
          <w:szCs w:val="24"/>
        </w:rPr>
        <w:t>d</w:t>
      </w:r>
      <w:r w:rsidR="002853F5">
        <w:rPr>
          <w:rFonts w:ascii="Times New Roman" w:hAnsi="Times New Roman"/>
          <w:sz w:val="24"/>
          <w:szCs w:val="24"/>
        </w:rPr>
        <w:t xml:space="preserve"> in</w:t>
      </w:r>
      <w:r w:rsidR="00737C72">
        <w:rPr>
          <w:rFonts w:ascii="Times New Roman" w:hAnsi="Times New Roman"/>
          <w:sz w:val="24"/>
          <w:szCs w:val="24"/>
        </w:rPr>
        <w:t xml:space="preserve"> the public assistance savings to the state in the balance sheets for each optional scenario.</w:t>
      </w:r>
      <w:r>
        <w:rPr>
          <w:rFonts w:ascii="Times New Roman" w:hAnsi="Times New Roman"/>
          <w:sz w:val="24"/>
          <w:szCs w:val="24"/>
        </w:rPr>
        <w:t xml:space="preserve">  </w:t>
      </w:r>
      <w:r w:rsidR="002853F5">
        <w:rPr>
          <w:rFonts w:ascii="Times New Roman" w:hAnsi="Times New Roman"/>
          <w:sz w:val="24"/>
          <w:szCs w:val="24"/>
        </w:rPr>
        <w:t>T</w:t>
      </w:r>
      <w:r>
        <w:rPr>
          <w:rFonts w:ascii="Times New Roman" w:hAnsi="Times New Roman"/>
          <w:sz w:val="24"/>
          <w:szCs w:val="24"/>
        </w:rPr>
        <w:t xml:space="preserve">he table below </w:t>
      </w:r>
      <w:r w:rsidR="002853F5">
        <w:rPr>
          <w:rFonts w:ascii="Times New Roman" w:hAnsi="Times New Roman"/>
          <w:sz w:val="24"/>
          <w:szCs w:val="24"/>
        </w:rPr>
        <w:t>demonstrates the</w:t>
      </w:r>
      <w:r>
        <w:rPr>
          <w:rFonts w:ascii="Times New Roman" w:hAnsi="Times New Roman"/>
          <w:sz w:val="24"/>
          <w:szCs w:val="24"/>
        </w:rPr>
        <w:t xml:space="preserve"> estimated costs of the program across the expansion timeframes.  These figures are </w:t>
      </w:r>
      <w:r w:rsidR="00C4566F">
        <w:rPr>
          <w:rFonts w:ascii="Times New Roman" w:hAnsi="Times New Roman"/>
          <w:sz w:val="24"/>
          <w:szCs w:val="24"/>
        </w:rPr>
        <w:t xml:space="preserve">subtracted from the overall expansion costs as additional savings to the state.  </w:t>
      </w:r>
    </w:p>
    <w:p w:rsidR="004B0C7D" w:rsidRDefault="004B0C7D" w:rsidP="00075BD7">
      <w:pPr>
        <w:spacing w:after="240"/>
        <w:rPr>
          <w:rFonts w:ascii="Times New Roman" w:hAnsi="Times New Roman"/>
          <w:sz w:val="24"/>
          <w:szCs w:val="24"/>
        </w:rPr>
        <w:sectPr w:rsidR="004B0C7D" w:rsidSect="00AF4ACC">
          <w:pgSz w:w="12240" w:h="15840"/>
          <w:pgMar w:top="576" w:right="1440" w:bottom="288" w:left="1440" w:header="720" w:footer="720" w:gutter="0"/>
          <w:cols w:space="720"/>
          <w:docGrid w:linePitch="360"/>
        </w:sectPr>
      </w:pPr>
      <w:r>
        <w:rPr>
          <w:rFonts w:ascii="Times New Roman" w:hAnsi="Times New Roman"/>
          <w:sz w:val="24"/>
          <w:szCs w:val="24"/>
        </w:rPr>
        <w:t>The chart below shows the cost estimate of the program in future years.  If Medicaid were to undergo expansion, these costs would become savings.</w:t>
      </w:r>
    </w:p>
    <w:p w:rsidR="00D02756" w:rsidRPr="00D02756" w:rsidRDefault="00D02756" w:rsidP="00075BD7">
      <w:pPr>
        <w:spacing w:after="240"/>
        <w:rPr>
          <w:rFonts w:ascii="Times New Roman" w:hAnsi="Times New Roman"/>
          <w:b/>
          <w:sz w:val="24"/>
          <w:szCs w:val="24"/>
        </w:rPr>
      </w:pPr>
      <w:r w:rsidRPr="00D02756">
        <w:rPr>
          <w:rFonts w:ascii="Times New Roman" w:hAnsi="Times New Roman"/>
          <w:b/>
          <w:sz w:val="24"/>
          <w:szCs w:val="24"/>
        </w:rPr>
        <w:lastRenderedPageBreak/>
        <w:t>PCN Savings</w:t>
      </w:r>
    </w:p>
    <w:p w:rsidR="00D02756" w:rsidRDefault="00D02756" w:rsidP="00075BD7">
      <w:pPr>
        <w:spacing w:after="240"/>
        <w:rPr>
          <w:rFonts w:ascii="Times New Roman" w:hAnsi="Times New Roman"/>
          <w:sz w:val="24"/>
          <w:szCs w:val="24"/>
        </w:rPr>
      </w:pPr>
    </w:p>
    <w:p w:rsidR="00D02756" w:rsidRDefault="006110E1" w:rsidP="00075BD7">
      <w:pPr>
        <w:spacing w:after="240"/>
        <w:rPr>
          <w:rFonts w:ascii="Times New Roman" w:hAnsi="Times New Roman"/>
          <w:sz w:val="24"/>
          <w:szCs w:val="24"/>
        </w:rPr>
      </w:pPr>
      <w:r w:rsidRPr="006110E1">
        <w:rPr>
          <w:noProof/>
          <w:szCs w:val="24"/>
          <w:lang w:eastAsia="en-US"/>
        </w:rPr>
        <w:drawing>
          <wp:inline distT="0" distB="0" distL="0" distR="0">
            <wp:extent cx="9509760" cy="978028"/>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9509760" cy="978028"/>
                    </a:xfrm>
                    <a:prstGeom prst="rect">
                      <a:avLst/>
                    </a:prstGeom>
                    <a:noFill/>
                    <a:ln w="9525">
                      <a:noFill/>
                      <a:miter lim="800000"/>
                      <a:headEnd/>
                      <a:tailEnd/>
                    </a:ln>
                  </pic:spPr>
                </pic:pic>
              </a:graphicData>
            </a:graphic>
          </wp:inline>
        </w:drawing>
      </w:r>
    </w:p>
    <w:p w:rsidR="00D02756" w:rsidRPr="00644319" w:rsidRDefault="00D02756" w:rsidP="00075BD7">
      <w:pPr>
        <w:spacing w:after="240"/>
        <w:rPr>
          <w:rFonts w:ascii="Times New Roman" w:hAnsi="Times New Roman"/>
          <w:sz w:val="24"/>
          <w:szCs w:val="24"/>
        </w:rPr>
      </w:pPr>
    </w:p>
    <w:p w:rsidR="002A553B" w:rsidRPr="00644319" w:rsidRDefault="002A553B" w:rsidP="00644319">
      <w:pPr>
        <w:spacing w:after="240"/>
        <w:rPr>
          <w:rFonts w:ascii="Times New Roman" w:hAnsi="Times New Roman"/>
          <w:sz w:val="24"/>
          <w:szCs w:val="24"/>
        </w:rPr>
      </w:pPr>
    </w:p>
    <w:p w:rsidR="00C14A34" w:rsidRDefault="00C14A34" w:rsidP="00C14A34">
      <w:pPr>
        <w:spacing w:after="240"/>
        <w:ind w:left="360"/>
        <w:rPr>
          <w:rFonts w:ascii="Times New Roman" w:hAnsi="Times New Roman"/>
          <w:sz w:val="24"/>
          <w:szCs w:val="24"/>
        </w:rPr>
      </w:pPr>
    </w:p>
    <w:p w:rsidR="00DD7973" w:rsidRDefault="00DD7973" w:rsidP="002A553B">
      <w:pPr>
        <w:spacing w:after="240"/>
        <w:rPr>
          <w:rFonts w:ascii="Times New Roman" w:hAnsi="Times New Roman"/>
          <w:sz w:val="24"/>
          <w:szCs w:val="24"/>
        </w:rPr>
        <w:sectPr w:rsidR="00DD7973" w:rsidSect="00D02756">
          <w:pgSz w:w="15840" w:h="12240" w:orient="landscape"/>
          <w:pgMar w:top="1440" w:right="576" w:bottom="1440" w:left="288" w:header="720" w:footer="720" w:gutter="0"/>
          <w:cols w:space="720"/>
          <w:docGrid w:linePitch="360"/>
        </w:sectPr>
      </w:pPr>
    </w:p>
    <w:p w:rsidR="00450D60" w:rsidRDefault="00450D60">
      <w:pPr>
        <w:spacing w:after="0" w:line="240" w:lineRule="auto"/>
        <w:rPr>
          <w:rFonts w:ascii="Times New Roman" w:hAnsi="Times New Roman"/>
          <w:b/>
          <w:color w:val="548DD4" w:themeColor="text2" w:themeTint="99"/>
          <w:sz w:val="28"/>
          <w:szCs w:val="24"/>
        </w:rPr>
      </w:pPr>
      <w:r w:rsidRPr="00450D60">
        <w:rPr>
          <w:rFonts w:ascii="Times New Roman" w:hAnsi="Times New Roman"/>
          <w:b/>
          <w:sz w:val="24"/>
          <w:szCs w:val="24"/>
        </w:rPr>
        <w:lastRenderedPageBreak/>
        <w:t>Medicaid Claiming for Inmates</w:t>
      </w:r>
      <w:r w:rsidRPr="00450D60">
        <w:rPr>
          <w:rFonts w:ascii="Times New Roman" w:hAnsi="Times New Roman"/>
          <w:b/>
          <w:color w:val="548DD4" w:themeColor="text2" w:themeTint="99"/>
          <w:sz w:val="28"/>
          <w:szCs w:val="24"/>
        </w:rPr>
        <w:t xml:space="preserve"> </w:t>
      </w:r>
    </w:p>
    <w:p w:rsidR="00450D60" w:rsidRDefault="00450D60">
      <w:pPr>
        <w:spacing w:after="0" w:line="240" w:lineRule="auto"/>
        <w:rPr>
          <w:rFonts w:ascii="Times New Roman" w:hAnsi="Times New Roman"/>
          <w:sz w:val="24"/>
          <w:szCs w:val="24"/>
        </w:rPr>
      </w:pPr>
    </w:p>
    <w:p w:rsidR="007E5259" w:rsidRDefault="008F6507" w:rsidP="008F6507">
      <w:pPr>
        <w:spacing w:after="0" w:line="240" w:lineRule="auto"/>
        <w:rPr>
          <w:rFonts w:ascii="Times New Roman" w:hAnsi="Times New Roman"/>
          <w:sz w:val="24"/>
          <w:szCs w:val="24"/>
        </w:rPr>
      </w:pPr>
      <w:r>
        <w:rPr>
          <w:rFonts w:ascii="Times New Roman" w:hAnsi="Times New Roman"/>
          <w:sz w:val="24"/>
          <w:szCs w:val="24"/>
        </w:rPr>
        <w:t xml:space="preserve">Inmates who have to leave their institutions for an inpatient hospital stay </w:t>
      </w:r>
      <w:r w:rsidR="007E5259">
        <w:rPr>
          <w:rFonts w:ascii="Times New Roman" w:hAnsi="Times New Roman"/>
          <w:sz w:val="24"/>
          <w:szCs w:val="24"/>
        </w:rPr>
        <w:t xml:space="preserve">in a hospital for 24 or more hours </w:t>
      </w:r>
      <w:r>
        <w:rPr>
          <w:rFonts w:ascii="Times New Roman" w:hAnsi="Times New Roman"/>
          <w:sz w:val="24"/>
          <w:szCs w:val="24"/>
        </w:rPr>
        <w:t xml:space="preserve">can be subject to Medicaid claiming, and thus federal matching funds, if the inmate is eligible for Medicaid coverage (e.g., a pregnant woman or an individual with a disability).  Utah currently has an eligibility policy that allows for some of this claiming.  Starting in 2014, if states choose to expand Medicaid, there will be an enhanced opportunity for inmate Medicaid claiming.  This is because the removal of categorical eligibility will make </w:t>
      </w:r>
      <w:r w:rsidR="00F46A04">
        <w:rPr>
          <w:rFonts w:ascii="Times New Roman" w:hAnsi="Times New Roman"/>
          <w:sz w:val="24"/>
          <w:szCs w:val="24"/>
        </w:rPr>
        <w:t xml:space="preserve">nearly </w:t>
      </w:r>
      <w:r>
        <w:rPr>
          <w:rFonts w:ascii="Times New Roman" w:hAnsi="Times New Roman"/>
          <w:sz w:val="24"/>
          <w:szCs w:val="24"/>
        </w:rPr>
        <w:t xml:space="preserve">all inmates under 138% FPL eligible for Medicaid (or up to 100% FPL if Utah’s expansion follows that track).  </w:t>
      </w:r>
    </w:p>
    <w:p w:rsidR="007E5259" w:rsidRDefault="007E5259" w:rsidP="008F6507">
      <w:pPr>
        <w:spacing w:after="0" w:line="240" w:lineRule="auto"/>
        <w:rPr>
          <w:rFonts w:ascii="Times New Roman" w:hAnsi="Times New Roman"/>
          <w:sz w:val="24"/>
          <w:szCs w:val="24"/>
        </w:rPr>
      </w:pPr>
    </w:p>
    <w:p w:rsidR="008F6507" w:rsidRDefault="007E5259" w:rsidP="008F6507">
      <w:pPr>
        <w:spacing w:after="0" w:line="240" w:lineRule="auto"/>
        <w:rPr>
          <w:rFonts w:ascii="Times New Roman" w:hAnsi="Times New Roman"/>
          <w:sz w:val="24"/>
          <w:szCs w:val="24"/>
        </w:rPr>
      </w:pPr>
      <w:r>
        <w:rPr>
          <w:rFonts w:ascii="Times New Roman" w:hAnsi="Times New Roman"/>
          <w:sz w:val="24"/>
          <w:szCs w:val="24"/>
        </w:rPr>
        <w:t xml:space="preserve">A key assumption in this analysis is that </w:t>
      </w:r>
      <w:r w:rsidR="005671E2">
        <w:rPr>
          <w:rFonts w:ascii="Times New Roman" w:hAnsi="Times New Roman"/>
          <w:sz w:val="24"/>
          <w:szCs w:val="24"/>
        </w:rPr>
        <w:t>90</w:t>
      </w:r>
      <w:r w:rsidR="008F6507">
        <w:rPr>
          <w:rFonts w:ascii="Times New Roman" w:hAnsi="Times New Roman"/>
          <w:sz w:val="24"/>
          <w:szCs w:val="24"/>
        </w:rPr>
        <w:t xml:space="preserve">% of inmates who receive inpatient services will qualify for Medicaid. </w:t>
      </w:r>
      <w:r w:rsidR="005671E2">
        <w:rPr>
          <w:rFonts w:ascii="Times New Roman" w:hAnsi="Times New Roman"/>
          <w:sz w:val="24"/>
          <w:szCs w:val="24"/>
        </w:rPr>
        <w:t xml:space="preserve"> 90% is an estimate based on experience in other states and across a Literature Review.  Available data is varied, but it is assumed that all Elderly, Disabled, Pregnant, and Parents will qualify under the </w:t>
      </w:r>
      <w:r w:rsidR="003541B2">
        <w:rPr>
          <w:rFonts w:ascii="Times New Roman" w:hAnsi="Times New Roman"/>
          <w:sz w:val="24"/>
          <w:szCs w:val="24"/>
        </w:rPr>
        <w:t>current FMAP.  The population has been reduced to 90% as undocumented residents will not qualify.</w:t>
      </w:r>
      <w:r w:rsidR="006D7396">
        <w:rPr>
          <w:rFonts w:ascii="Times New Roman" w:hAnsi="Times New Roman"/>
          <w:sz w:val="24"/>
          <w:szCs w:val="24"/>
        </w:rPr>
        <w:t xml:space="preserve">  Other states have expressed an expectation that nearly 100% of their </w:t>
      </w:r>
      <w:proofErr w:type="gramStart"/>
      <w:r w:rsidR="006D7396">
        <w:rPr>
          <w:rFonts w:ascii="Times New Roman" w:hAnsi="Times New Roman"/>
          <w:sz w:val="24"/>
          <w:szCs w:val="24"/>
        </w:rPr>
        <w:t>inmates</w:t>
      </w:r>
      <w:proofErr w:type="gramEnd"/>
      <w:r w:rsidR="006D7396">
        <w:rPr>
          <w:rFonts w:ascii="Times New Roman" w:hAnsi="Times New Roman"/>
          <w:sz w:val="24"/>
          <w:szCs w:val="24"/>
        </w:rPr>
        <w:t xml:space="preserve"> populations will be eligible for Medicaid claiming.  The figure 90% is used to be mindful of Utah’s current applicable eligibility groups and a desire to present a more conservative estimate than has been encountered elsewhere.</w:t>
      </w:r>
      <w:r w:rsidR="003541B2">
        <w:rPr>
          <w:rFonts w:ascii="Times New Roman" w:hAnsi="Times New Roman"/>
          <w:sz w:val="24"/>
          <w:szCs w:val="24"/>
        </w:rPr>
        <w:t xml:space="preserve"> </w:t>
      </w:r>
      <w:r w:rsidR="005671E2">
        <w:rPr>
          <w:rFonts w:ascii="Times New Roman" w:hAnsi="Times New Roman"/>
          <w:sz w:val="24"/>
          <w:szCs w:val="24"/>
        </w:rPr>
        <w:t xml:space="preserve">   </w:t>
      </w:r>
      <w:r w:rsidR="008F6507">
        <w:rPr>
          <w:rFonts w:ascii="Times New Roman" w:hAnsi="Times New Roman"/>
          <w:sz w:val="24"/>
          <w:szCs w:val="24"/>
        </w:rPr>
        <w:t xml:space="preserve"> </w:t>
      </w:r>
    </w:p>
    <w:p w:rsidR="008F6507" w:rsidRDefault="008F6507" w:rsidP="008F6507">
      <w:pPr>
        <w:spacing w:after="0" w:line="240" w:lineRule="auto"/>
        <w:rPr>
          <w:rFonts w:ascii="Times New Roman" w:hAnsi="Times New Roman"/>
          <w:sz w:val="24"/>
          <w:szCs w:val="24"/>
        </w:rPr>
      </w:pPr>
    </w:p>
    <w:p w:rsidR="008F6507" w:rsidRPr="00787171" w:rsidRDefault="008F6507" w:rsidP="008F6507">
      <w:pPr>
        <w:spacing w:after="0" w:line="240" w:lineRule="auto"/>
        <w:rPr>
          <w:rFonts w:ascii="Times New Roman" w:hAnsi="Times New Roman"/>
          <w:b/>
          <w:sz w:val="24"/>
          <w:szCs w:val="24"/>
        </w:rPr>
      </w:pPr>
      <w:r w:rsidRPr="00787171">
        <w:rPr>
          <w:rFonts w:ascii="Times New Roman" w:hAnsi="Times New Roman"/>
          <w:b/>
          <w:sz w:val="24"/>
          <w:szCs w:val="24"/>
        </w:rPr>
        <w:t>Jail Inpatient Inmates</w:t>
      </w:r>
    </w:p>
    <w:p w:rsidR="008F6507" w:rsidRDefault="008F6507" w:rsidP="008F6507">
      <w:pPr>
        <w:spacing w:after="0" w:line="240" w:lineRule="auto"/>
        <w:rPr>
          <w:rFonts w:ascii="Times New Roman" w:hAnsi="Times New Roman"/>
          <w:sz w:val="24"/>
          <w:szCs w:val="24"/>
        </w:rPr>
      </w:pPr>
    </w:p>
    <w:p w:rsidR="008F6507" w:rsidRDefault="008F6507" w:rsidP="008F6507">
      <w:pPr>
        <w:spacing w:after="0" w:line="240" w:lineRule="auto"/>
        <w:rPr>
          <w:rFonts w:ascii="Times New Roman" w:hAnsi="Times New Roman"/>
          <w:sz w:val="24"/>
          <w:szCs w:val="24"/>
        </w:rPr>
      </w:pPr>
      <w:r w:rsidRPr="00093867">
        <w:rPr>
          <w:rFonts w:ascii="Times New Roman" w:hAnsi="Times New Roman"/>
          <w:sz w:val="24"/>
          <w:szCs w:val="24"/>
        </w:rPr>
        <w:t>County wide level jail information was extrapolated from Salt Lake County jail info</w:t>
      </w:r>
      <w:r>
        <w:rPr>
          <w:rFonts w:ascii="Times New Roman" w:hAnsi="Times New Roman"/>
          <w:sz w:val="24"/>
          <w:szCs w:val="24"/>
        </w:rPr>
        <w:t xml:space="preserve">rmation.  Statewide county jail populations were </w:t>
      </w:r>
      <w:r w:rsidR="00F46A04">
        <w:rPr>
          <w:rFonts w:ascii="Times New Roman" w:hAnsi="Times New Roman"/>
          <w:sz w:val="24"/>
          <w:szCs w:val="24"/>
        </w:rPr>
        <w:t xml:space="preserve">estimated </w:t>
      </w:r>
      <w:r>
        <w:rPr>
          <w:rFonts w:ascii="Times New Roman" w:hAnsi="Times New Roman"/>
          <w:sz w:val="24"/>
          <w:szCs w:val="24"/>
        </w:rPr>
        <w:t xml:space="preserve">based on </w:t>
      </w:r>
      <w:r w:rsidR="00F46A04">
        <w:rPr>
          <w:rFonts w:ascii="Times New Roman" w:hAnsi="Times New Roman"/>
          <w:sz w:val="24"/>
          <w:szCs w:val="24"/>
        </w:rPr>
        <w:t>the</w:t>
      </w:r>
      <w:r>
        <w:rPr>
          <w:rFonts w:ascii="Times New Roman" w:hAnsi="Times New Roman"/>
          <w:sz w:val="24"/>
          <w:szCs w:val="24"/>
        </w:rPr>
        <w:t xml:space="preserve"> percentage </w:t>
      </w:r>
      <w:r w:rsidR="00F46A04">
        <w:rPr>
          <w:rFonts w:ascii="Times New Roman" w:hAnsi="Times New Roman"/>
          <w:sz w:val="24"/>
          <w:szCs w:val="24"/>
        </w:rPr>
        <w:t xml:space="preserve">of </w:t>
      </w:r>
      <w:r>
        <w:rPr>
          <w:rFonts w:ascii="Times New Roman" w:hAnsi="Times New Roman"/>
          <w:sz w:val="24"/>
          <w:szCs w:val="24"/>
        </w:rPr>
        <w:t xml:space="preserve">the Salt Lake County population compared to the overall population of the State of Utah.  </w:t>
      </w:r>
      <w:r w:rsidR="00F46A04">
        <w:rPr>
          <w:rFonts w:ascii="Times New Roman" w:hAnsi="Times New Roman"/>
          <w:sz w:val="24"/>
          <w:szCs w:val="24"/>
        </w:rPr>
        <w:t>An estimate was used</w:t>
      </w:r>
      <w:r w:rsidR="007E5259">
        <w:rPr>
          <w:rFonts w:ascii="Times New Roman" w:hAnsi="Times New Roman"/>
          <w:sz w:val="24"/>
          <w:szCs w:val="24"/>
        </w:rPr>
        <w:t xml:space="preserve"> because i</w:t>
      </w:r>
      <w:r>
        <w:rPr>
          <w:rFonts w:ascii="Times New Roman" w:hAnsi="Times New Roman"/>
          <w:sz w:val="24"/>
          <w:szCs w:val="24"/>
        </w:rPr>
        <w:t>ndividual county level jail inmate data could not be obtained.  A constant percentage of inmate</w:t>
      </w:r>
      <w:r w:rsidR="005F7A9B">
        <w:rPr>
          <w:rFonts w:ascii="Times New Roman" w:hAnsi="Times New Roman"/>
          <w:sz w:val="24"/>
          <w:szCs w:val="24"/>
        </w:rPr>
        <w:t>s receiving inpatient services of 1.55%</w:t>
      </w:r>
      <w:r>
        <w:rPr>
          <w:rFonts w:ascii="Times New Roman" w:hAnsi="Times New Roman"/>
          <w:sz w:val="24"/>
          <w:szCs w:val="24"/>
        </w:rPr>
        <w:t xml:space="preserve"> </w:t>
      </w:r>
      <w:proofErr w:type="gramStart"/>
      <w:r>
        <w:rPr>
          <w:rFonts w:ascii="Times New Roman" w:hAnsi="Times New Roman"/>
          <w:sz w:val="24"/>
          <w:szCs w:val="24"/>
        </w:rPr>
        <w:t>was</w:t>
      </w:r>
      <w:proofErr w:type="gramEnd"/>
      <w:r>
        <w:rPr>
          <w:rFonts w:ascii="Times New Roman" w:hAnsi="Times New Roman"/>
          <w:sz w:val="24"/>
          <w:szCs w:val="24"/>
        </w:rPr>
        <w:t xml:space="preserve"> applied to the extrapolated overall statewide county inmate figure.  1.55% was calculated based on Salt Lake County data.</w:t>
      </w:r>
    </w:p>
    <w:p w:rsidR="008F6507" w:rsidRDefault="008F6507" w:rsidP="008F6507">
      <w:pPr>
        <w:spacing w:after="0" w:line="240" w:lineRule="auto"/>
        <w:rPr>
          <w:rFonts w:ascii="Times New Roman" w:hAnsi="Times New Roman"/>
          <w:sz w:val="24"/>
          <w:szCs w:val="24"/>
        </w:rPr>
      </w:pPr>
    </w:p>
    <w:p w:rsidR="008F6507" w:rsidRDefault="008F6507" w:rsidP="008F6507">
      <w:pPr>
        <w:spacing w:after="0" w:line="240" w:lineRule="auto"/>
        <w:rPr>
          <w:rFonts w:ascii="Times New Roman" w:hAnsi="Times New Roman"/>
          <w:sz w:val="24"/>
          <w:szCs w:val="24"/>
        </w:rPr>
      </w:pPr>
      <w:r>
        <w:rPr>
          <w:rFonts w:ascii="Times New Roman" w:hAnsi="Times New Roman"/>
          <w:sz w:val="24"/>
          <w:szCs w:val="24"/>
        </w:rPr>
        <w:t>A growth trend of Medicaid caselo</w:t>
      </w:r>
      <w:r w:rsidR="005F7A9B">
        <w:rPr>
          <w:rFonts w:ascii="Times New Roman" w:hAnsi="Times New Roman"/>
          <w:sz w:val="24"/>
          <w:szCs w:val="24"/>
        </w:rPr>
        <w:t>ad was applied to the baseline</w:t>
      </w:r>
      <w:r>
        <w:rPr>
          <w:rFonts w:ascii="Times New Roman" w:hAnsi="Times New Roman"/>
          <w:sz w:val="24"/>
          <w:szCs w:val="24"/>
        </w:rPr>
        <w:t xml:space="preserve"> 2012 inpatient inmate population figure.  This was the same growth trend applied to all adults in the PCG-MESM. County jail maximum population constraints were not taken into account for this exercise. Additionally, a per member per year (PMPY) figure was obtained from Salt Lake County for all inmate services minus any private insurance contributions and this PMPY was applied to the statewide inpatient inmate extrapolated population. Contribution percentages across Salt Lake County state funds, Medicaid claiming, and county funds were also applied to the entire state wide extrapolated inpatient inmate figures. </w:t>
      </w:r>
    </w:p>
    <w:p w:rsidR="004C47C1" w:rsidRDefault="004C47C1" w:rsidP="008F6507">
      <w:pPr>
        <w:spacing w:after="0" w:line="240" w:lineRule="auto"/>
        <w:rPr>
          <w:rFonts w:ascii="Times New Roman" w:hAnsi="Times New Roman"/>
          <w:sz w:val="24"/>
          <w:szCs w:val="24"/>
        </w:rPr>
      </w:pPr>
    </w:p>
    <w:p w:rsidR="004C47C1" w:rsidRDefault="004C47C1" w:rsidP="008F6507">
      <w:pPr>
        <w:spacing w:after="0" w:line="240" w:lineRule="auto"/>
        <w:rPr>
          <w:rFonts w:ascii="Times New Roman" w:hAnsi="Times New Roman"/>
          <w:sz w:val="24"/>
          <w:szCs w:val="24"/>
        </w:rPr>
      </w:pPr>
      <w:r>
        <w:rPr>
          <w:rFonts w:ascii="Times New Roman" w:hAnsi="Times New Roman"/>
          <w:sz w:val="24"/>
          <w:szCs w:val="24"/>
        </w:rPr>
        <w:t>Based on an estimate of $50,000 of current Medicaid claiming, when compared to the total inpatient claiming, approximately 8.5% of the total expenditures were currently being claimed under the current F</w:t>
      </w:r>
      <w:r w:rsidR="006110E1">
        <w:rPr>
          <w:rFonts w:ascii="Times New Roman" w:hAnsi="Times New Roman"/>
          <w:sz w:val="24"/>
          <w:szCs w:val="24"/>
        </w:rPr>
        <w:t>F</w:t>
      </w:r>
      <w:r>
        <w:rPr>
          <w:rFonts w:ascii="Times New Roman" w:hAnsi="Times New Roman"/>
          <w:sz w:val="24"/>
          <w:szCs w:val="24"/>
        </w:rPr>
        <w:t xml:space="preserve">P.  This percentage was used in estimating the total current costs to the state.  Additionally, it was assumed that the counties cover 57% of the total inpatient costs and the state </w:t>
      </w:r>
      <w:r>
        <w:rPr>
          <w:rFonts w:ascii="Times New Roman" w:hAnsi="Times New Roman"/>
          <w:sz w:val="24"/>
          <w:szCs w:val="24"/>
        </w:rPr>
        <w:lastRenderedPageBreak/>
        <w:t xml:space="preserve">covers 43%, after private funding has been removed, based on </w:t>
      </w:r>
      <w:r w:rsidR="00F51902">
        <w:rPr>
          <w:rFonts w:ascii="Times New Roman" w:hAnsi="Times New Roman"/>
          <w:sz w:val="24"/>
          <w:szCs w:val="24"/>
        </w:rPr>
        <w:t>totals from balance sheets supplied by Salt Lake County.</w:t>
      </w:r>
    </w:p>
    <w:p w:rsidR="008F6507" w:rsidRDefault="008F6507" w:rsidP="008F6507">
      <w:pPr>
        <w:spacing w:after="0" w:line="240" w:lineRule="auto"/>
        <w:rPr>
          <w:rFonts w:ascii="Times New Roman" w:hAnsi="Times New Roman"/>
          <w:sz w:val="24"/>
          <w:szCs w:val="24"/>
        </w:rPr>
      </w:pPr>
    </w:p>
    <w:p w:rsidR="008F6507" w:rsidRDefault="008F6507" w:rsidP="008F6507">
      <w:pPr>
        <w:spacing w:after="0" w:line="240" w:lineRule="auto"/>
        <w:rPr>
          <w:rFonts w:ascii="Times New Roman" w:hAnsi="Times New Roman"/>
          <w:sz w:val="24"/>
          <w:szCs w:val="24"/>
        </w:rPr>
      </w:pPr>
      <w:r>
        <w:rPr>
          <w:rFonts w:ascii="Times New Roman" w:hAnsi="Times New Roman"/>
          <w:sz w:val="24"/>
          <w:szCs w:val="24"/>
        </w:rPr>
        <w:t xml:space="preserve">State and county level savings are achieved through claiming inmates under the enhanced Federal match under Medicaid expansion. These savings accrue to the state and counties based on their respective overall level of input.  </w:t>
      </w:r>
      <w:r w:rsidR="007E5259">
        <w:rPr>
          <w:rFonts w:ascii="Times New Roman" w:hAnsi="Times New Roman"/>
          <w:sz w:val="24"/>
          <w:szCs w:val="24"/>
        </w:rPr>
        <w:t>The following chart provides the detailed financial information resulting from the data provided and the above methodology.</w:t>
      </w:r>
    </w:p>
    <w:p w:rsidR="008F6507" w:rsidRDefault="008F6507" w:rsidP="008F6507">
      <w:pPr>
        <w:spacing w:after="0" w:line="240" w:lineRule="auto"/>
        <w:rPr>
          <w:rFonts w:ascii="Times New Roman" w:hAnsi="Times New Roman"/>
          <w:sz w:val="24"/>
          <w:szCs w:val="24"/>
        </w:rPr>
      </w:pPr>
    </w:p>
    <w:p w:rsidR="00A563DE" w:rsidRDefault="00A563DE" w:rsidP="008F6507">
      <w:pPr>
        <w:spacing w:after="0" w:line="240" w:lineRule="auto"/>
        <w:rPr>
          <w:rFonts w:ascii="Times New Roman" w:hAnsi="Times New Roman"/>
          <w:b/>
          <w:sz w:val="24"/>
          <w:szCs w:val="24"/>
        </w:rPr>
        <w:sectPr w:rsidR="00A563DE" w:rsidSect="00A563DE">
          <w:pgSz w:w="12240" w:h="15840"/>
          <w:pgMar w:top="288" w:right="1440" w:bottom="576" w:left="1440" w:header="720" w:footer="720" w:gutter="0"/>
          <w:cols w:space="720"/>
          <w:docGrid w:linePitch="360"/>
        </w:sectPr>
      </w:pPr>
    </w:p>
    <w:p w:rsidR="00A829A0" w:rsidRPr="00A829A0" w:rsidRDefault="00A829A0" w:rsidP="008F6507">
      <w:pPr>
        <w:spacing w:after="0" w:line="240" w:lineRule="auto"/>
        <w:rPr>
          <w:rFonts w:ascii="Times New Roman" w:hAnsi="Times New Roman"/>
          <w:b/>
          <w:sz w:val="24"/>
          <w:szCs w:val="24"/>
        </w:rPr>
      </w:pPr>
      <w:r w:rsidRPr="00A829A0">
        <w:rPr>
          <w:rFonts w:ascii="Times New Roman" w:hAnsi="Times New Roman"/>
          <w:b/>
          <w:sz w:val="24"/>
          <w:szCs w:val="24"/>
        </w:rPr>
        <w:lastRenderedPageBreak/>
        <w:t>Jail Inmates</w:t>
      </w:r>
      <w:r w:rsidR="00FB5C9E">
        <w:rPr>
          <w:rFonts w:ascii="Times New Roman" w:hAnsi="Times New Roman"/>
          <w:b/>
          <w:sz w:val="24"/>
          <w:szCs w:val="24"/>
        </w:rPr>
        <w:t xml:space="preserve"> Receiving Inpatient Services</w:t>
      </w:r>
    </w:p>
    <w:p w:rsidR="00A829A0" w:rsidRDefault="00A829A0" w:rsidP="008F6507">
      <w:pPr>
        <w:spacing w:after="0" w:line="240" w:lineRule="auto"/>
        <w:rPr>
          <w:rFonts w:ascii="Times New Roman" w:hAnsi="Times New Roman"/>
          <w:sz w:val="24"/>
          <w:szCs w:val="24"/>
        </w:rPr>
      </w:pPr>
    </w:p>
    <w:p w:rsidR="00A829A0" w:rsidRDefault="00F51902" w:rsidP="008F6507">
      <w:pPr>
        <w:spacing w:after="0" w:line="240" w:lineRule="auto"/>
        <w:rPr>
          <w:rFonts w:ascii="Times New Roman" w:hAnsi="Times New Roman"/>
          <w:sz w:val="24"/>
          <w:szCs w:val="24"/>
        </w:rPr>
        <w:sectPr w:rsidR="00A829A0" w:rsidSect="00A563DE">
          <w:pgSz w:w="15840" w:h="12240" w:orient="landscape"/>
          <w:pgMar w:top="1440" w:right="288" w:bottom="1440" w:left="576" w:header="720" w:footer="720" w:gutter="0"/>
          <w:cols w:space="720"/>
          <w:docGrid w:linePitch="360"/>
        </w:sectPr>
      </w:pPr>
      <w:r w:rsidRPr="00F51902">
        <w:rPr>
          <w:noProof/>
          <w:szCs w:val="24"/>
          <w:lang w:eastAsia="en-US"/>
        </w:rPr>
        <w:drawing>
          <wp:inline distT="0" distB="0" distL="0" distR="0">
            <wp:extent cx="9509760" cy="3540368"/>
            <wp:effectExtent l="1905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9509760" cy="3540368"/>
                    </a:xfrm>
                    <a:prstGeom prst="rect">
                      <a:avLst/>
                    </a:prstGeom>
                    <a:noFill/>
                    <a:ln w="9525">
                      <a:noFill/>
                      <a:miter lim="800000"/>
                      <a:headEnd/>
                      <a:tailEnd/>
                    </a:ln>
                  </pic:spPr>
                </pic:pic>
              </a:graphicData>
            </a:graphic>
          </wp:inline>
        </w:drawing>
      </w:r>
    </w:p>
    <w:p w:rsidR="008F6507" w:rsidRDefault="008F6507" w:rsidP="008F6507">
      <w:pPr>
        <w:spacing w:after="0" w:line="240" w:lineRule="auto"/>
        <w:rPr>
          <w:rFonts w:ascii="Times New Roman" w:hAnsi="Times New Roman"/>
          <w:sz w:val="24"/>
          <w:szCs w:val="24"/>
        </w:rPr>
      </w:pPr>
    </w:p>
    <w:p w:rsidR="008F6507" w:rsidRDefault="00A829A0" w:rsidP="008F6507">
      <w:pPr>
        <w:spacing w:after="0" w:line="240" w:lineRule="auto"/>
        <w:rPr>
          <w:rFonts w:ascii="Times New Roman" w:hAnsi="Times New Roman"/>
          <w:b/>
          <w:sz w:val="24"/>
          <w:szCs w:val="24"/>
        </w:rPr>
      </w:pPr>
      <w:r>
        <w:rPr>
          <w:rFonts w:ascii="Times New Roman" w:hAnsi="Times New Roman"/>
          <w:sz w:val="24"/>
          <w:szCs w:val="24"/>
        </w:rPr>
        <w:t>P</w:t>
      </w:r>
      <w:r w:rsidR="008F6507">
        <w:rPr>
          <w:rFonts w:ascii="Times New Roman" w:hAnsi="Times New Roman"/>
          <w:b/>
          <w:sz w:val="24"/>
          <w:szCs w:val="24"/>
        </w:rPr>
        <w:t>rison</w:t>
      </w:r>
      <w:r w:rsidR="008F6507" w:rsidRPr="00FC3A8B">
        <w:rPr>
          <w:rFonts w:ascii="Times New Roman" w:hAnsi="Times New Roman"/>
          <w:b/>
          <w:sz w:val="24"/>
          <w:szCs w:val="24"/>
        </w:rPr>
        <w:t xml:space="preserve"> Inpatient </w:t>
      </w:r>
      <w:r w:rsidR="008F6507">
        <w:rPr>
          <w:rFonts w:ascii="Times New Roman" w:hAnsi="Times New Roman"/>
          <w:b/>
          <w:sz w:val="24"/>
          <w:szCs w:val="24"/>
        </w:rPr>
        <w:t>Claim</w:t>
      </w:r>
      <w:r w:rsidR="00FB5C9E">
        <w:rPr>
          <w:rFonts w:ascii="Times New Roman" w:hAnsi="Times New Roman"/>
          <w:b/>
          <w:sz w:val="24"/>
          <w:szCs w:val="24"/>
        </w:rPr>
        <w:t>ing</w:t>
      </w:r>
    </w:p>
    <w:p w:rsidR="008F6507" w:rsidRDefault="008F6507" w:rsidP="008F6507">
      <w:pPr>
        <w:spacing w:after="0" w:line="240" w:lineRule="auto"/>
        <w:rPr>
          <w:rFonts w:ascii="Times New Roman" w:hAnsi="Times New Roman"/>
          <w:b/>
          <w:sz w:val="24"/>
          <w:szCs w:val="24"/>
        </w:rPr>
      </w:pPr>
    </w:p>
    <w:p w:rsidR="008F6507" w:rsidRDefault="008F6507" w:rsidP="008F6507">
      <w:pPr>
        <w:spacing w:after="0" w:line="240" w:lineRule="auto"/>
        <w:rPr>
          <w:rFonts w:ascii="Times New Roman" w:hAnsi="Times New Roman"/>
          <w:sz w:val="24"/>
          <w:szCs w:val="24"/>
        </w:rPr>
      </w:pPr>
      <w:r>
        <w:rPr>
          <w:rFonts w:ascii="Times New Roman" w:hAnsi="Times New Roman"/>
          <w:sz w:val="24"/>
          <w:szCs w:val="24"/>
        </w:rPr>
        <w:t xml:space="preserve">Statewide prison information was obtained from the Utah Department of Corrections. A PMPY figure was obtained </w:t>
      </w:r>
      <w:r w:rsidR="007E5259">
        <w:rPr>
          <w:rFonts w:ascii="Times New Roman" w:hAnsi="Times New Roman"/>
          <w:sz w:val="24"/>
          <w:szCs w:val="24"/>
        </w:rPr>
        <w:t>by dividing</w:t>
      </w:r>
      <w:r>
        <w:rPr>
          <w:rFonts w:ascii="Times New Roman" w:hAnsi="Times New Roman"/>
          <w:sz w:val="24"/>
          <w:szCs w:val="24"/>
        </w:rPr>
        <w:t xml:space="preserve"> the total unique count of all prisoners with an inpatient stay</w:t>
      </w:r>
      <w:r w:rsidR="00A829A0">
        <w:rPr>
          <w:rFonts w:ascii="Times New Roman" w:hAnsi="Times New Roman"/>
          <w:sz w:val="24"/>
          <w:szCs w:val="24"/>
        </w:rPr>
        <w:t xml:space="preserve"> by the total cost of inpatient claims. A constant percentage of inmates receiving inpatient services of 2.34 % </w:t>
      </w:r>
      <w:proofErr w:type="gramStart"/>
      <w:r w:rsidR="00A829A0">
        <w:rPr>
          <w:rFonts w:ascii="Times New Roman" w:hAnsi="Times New Roman"/>
          <w:sz w:val="24"/>
          <w:szCs w:val="24"/>
        </w:rPr>
        <w:t>was</w:t>
      </w:r>
      <w:proofErr w:type="gramEnd"/>
      <w:r w:rsidR="00A829A0">
        <w:rPr>
          <w:rFonts w:ascii="Times New Roman" w:hAnsi="Times New Roman"/>
          <w:sz w:val="24"/>
          <w:szCs w:val="24"/>
        </w:rPr>
        <w:t xml:space="preserve"> applied to the extrapolated overall statewide prison inmate figure.  2.34% was calculated from data received from the Department of Corrections.  </w:t>
      </w:r>
    </w:p>
    <w:p w:rsidR="005F7A9B" w:rsidRDefault="005F7A9B" w:rsidP="008F6507">
      <w:pPr>
        <w:spacing w:after="0" w:line="240" w:lineRule="auto"/>
        <w:rPr>
          <w:rFonts w:ascii="Times New Roman" w:hAnsi="Times New Roman"/>
          <w:sz w:val="24"/>
          <w:szCs w:val="24"/>
        </w:rPr>
      </w:pPr>
    </w:p>
    <w:p w:rsidR="005F7A9B" w:rsidRDefault="005F7A9B" w:rsidP="008F6507">
      <w:pPr>
        <w:spacing w:after="0" w:line="240" w:lineRule="auto"/>
        <w:rPr>
          <w:rFonts w:ascii="Times New Roman" w:hAnsi="Times New Roman"/>
          <w:sz w:val="24"/>
          <w:szCs w:val="24"/>
        </w:rPr>
      </w:pPr>
      <w:r>
        <w:rPr>
          <w:rFonts w:ascii="Times New Roman" w:hAnsi="Times New Roman"/>
          <w:sz w:val="24"/>
          <w:szCs w:val="24"/>
        </w:rPr>
        <w:t xml:space="preserve">A growth trend of Medicaid caseloads was applied to the baseline 2012 inpatient inmate population figure.  This was the same growth trend applied to all adults in the PCG-MESM. Prison population constraints were not taken into account for this exercise. It was also assumed that </w:t>
      </w:r>
      <w:r w:rsidR="00F51902">
        <w:rPr>
          <w:rFonts w:ascii="Times New Roman" w:hAnsi="Times New Roman"/>
          <w:sz w:val="24"/>
          <w:szCs w:val="24"/>
        </w:rPr>
        <w:t>90</w:t>
      </w:r>
      <w:r>
        <w:rPr>
          <w:rFonts w:ascii="Times New Roman" w:hAnsi="Times New Roman"/>
          <w:sz w:val="24"/>
          <w:szCs w:val="24"/>
        </w:rPr>
        <w:t xml:space="preserve">% of all inmates receiving inpatient services will be eligible to receive Medicaid coverage.  These prisoners will newly eligible under the ACA and will be receiving the enhanced Federal match of the Medicaid claiming.  </w:t>
      </w:r>
      <w:r w:rsidR="00FB5C9E">
        <w:rPr>
          <w:rFonts w:ascii="Times New Roman" w:hAnsi="Times New Roman"/>
          <w:sz w:val="24"/>
          <w:szCs w:val="24"/>
        </w:rPr>
        <w:t xml:space="preserve">There was currently no </w:t>
      </w:r>
      <w:r w:rsidR="007E5259">
        <w:rPr>
          <w:rFonts w:ascii="Times New Roman" w:hAnsi="Times New Roman"/>
          <w:sz w:val="24"/>
          <w:szCs w:val="24"/>
        </w:rPr>
        <w:t xml:space="preserve">significant </w:t>
      </w:r>
      <w:r w:rsidR="00FB5C9E">
        <w:rPr>
          <w:rFonts w:ascii="Times New Roman" w:hAnsi="Times New Roman"/>
          <w:sz w:val="24"/>
          <w:szCs w:val="24"/>
        </w:rPr>
        <w:t xml:space="preserve">Medicaid claiming for prisoners receiving inpatients services so the State serves to benefit from claiming inpatient Medicaid services. </w:t>
      </w:r>
    </w:p>
    <w:p w:rsidR="001B6ED5" w:rsidRDefault="001B6ED5" w:rsidP="008F6507">
      <w:pPr>
        <w:spacing w:after="0" w:line="240" w:lineRule="auto"/>
        <w:rPr>
          <w:rFonts w:ascii="Times New Roman" w:hAnsi="Times New Roman"/>
          <w:sz w:val="24"/>
          <w:szCs w:val="24"/>
        </w:rPr>
      </w:pPr>
    </w:p>
    <w:p w:rsidR="001B6ED5" w:rsidRDefault="001B6ED5" w:rsidP="008F6507">
      <w:pPr>
        <w:spacing w:after="0" w:line="240" w:lineRule="auto"/>
        <w:rPr>
          <w:rFonts w:ascii="Times New Roman" w:hAnsi="Times New Roman"/>
          <w:sz w:val="24"/>
          <w:szCs w:val="24"/>
        </w:rPr>
        <w:sectPr w:rsidR="001B6ED5" w:rsidSect="00A829A0">
          <w:pgSz w:w="12240" w:h="15840"/>
          <w:pgMar w:top="576" w:right="1440" w:bottom="288" w:left="1440" w:header="720" w:footer="720" w:gutter="0"/>
          <w:cols w:space="720"/>
          <w:docGrid w:linePitch="360"/>
        </w:sectPr>
      </w:pPr>
      <w:r>
        <w:rPr>
          <w:rFonts w:ascii="Times New Roman" w:hAnsi="Times New Roman"/>
          <w:sz w:val="24"/>
          <w:szCs w:val="24"/>
        </w:rPr>
        <w:t>The following chart provides complete financial information and demonstrates how savings were calculated from the data provided and the above assumptions.</w:t>
      </w:r>
    </w:p>
    <w:p w:rsidR="005F7A9B" w:rsidRDefault="005F7A9B" w:rsidP="008F6507">
      <w:pPr>
        <w:spacing w:after="0" w:line="240" w:lineRule="auto"/>
        <w:rPr>
          <w:rFonts w:ascii="Times New Roman" w:hAnsi="Times New Roman"/>
          <w:sz w:val="24"/>
          <w:szCs w:val="24"/>
        </w:rPr>
      </w:pPr>
    </w:p>
    <w:p w:rsidR="005F7A9B" w:rsidRDefault="00FB5C9E" w:rsidP="008F6507">
      <w:pPr>
        <w:spacing w:after="0" w:line="240" w:lineRule="auto"/>
        <w:rPr>
          <w:rFonts w:ascii="Times New Roman" w:hAnsi="Times New Roman"/>
          <w:b/>
          <w:sz w:val="24"/>
          <w:szCs w:val="24"/>
        </w:rPr>
      </w:pPr>
      <w:r w:rsidRPr="00FB5C9E">
        <w:rPr>
          <w:rFonts w:ascii="Times New Roman" w:hAnsi="Times New Roman"/>
          <w:b/>
          <w:sz w:val="24"/>
          <w:szCs w:val="24"/>
        </w:rPr>
        <w:t>Prison Inmates Receiving Inpatient Services</w:t>
      </w:r>
    </w:p>
    <w:p w:rsidR="00FB5C9E" w:rsidRDefault="00FB5C9E" w:rsidP="008F6507">
      <w:pPr>
        <w:spacing w:after="0" w:line="240" w:lineRule="auto"/>
        <w:rPr>
          <w:rFonts w:ascii="Times New Roman" w:hAnsi="Times New Roman"/>
          <w:b/>
          <w:sz w:val="24"/>
          <w:szCs w:val="24"/>
        </w:rPr>
      </w:pPr>
    </w:p>
    <w:p w:rsidR="00FB5C9E" w:rsidRPr="00FB5C9E" w:rsidRDefault="00F51902" w:rsidP="008F6507">
      <w:pPr>
        <w:spacing w:after="0" w:line="240" w:lineRule="auto"/>
        <w:rPr>
          <w:rFonts w:ascii="Times New Roman" w:hAnsi="Times New Roman"/>
          <w:b/>
          <w:sz w:val="24"/>
          <w:szCs w:val="24"/>
        </w:rPr>
        <w:sectPr w:rsidR="00FB5C9E" w:rsidRPr="00FB5C9E" w:rsidSect="005F7A9B">
          <w:pgSz w:w="15840" w:h="12240" w:orient="landscape"/>
          <w:pgMar w:top="1440" w:right="288" w:bottom="1440" w:left="576" w:header="720" w:footer="720" w:gutter="0"/>
          <w:cols w:space="720"/>
          <w:docGrid w:linePitch="360"/>
        </w:sectPr>
      </w:pPr>
      <w:r w:rsidRPr="00F51902">
        <w:rPr>
          <w:noProof/>
          <w:szCs w:val="24"/>
          <w:lang w:eastAsia="en-US"/>
        </w:rPr>
        <w:drawing>
          <wp:inline distT="0" distB="0" distL="0" distR="0">
            <wp:extent cx="9509760" cy="2613061"/>
            <wp:effectExtent l="1905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9509760" cy="2613061"/>
                    </a:xfrm>
                    <a:prstGeom prst="rect">
                      <a:avLst/>
                    </a:prstGeom>
                    <a:noFill/>
                    <a:ln w="9525">
                      <a:noFill/>
                      <a:miter lim="800000"/>
                      <a:headEnd/>
                      <a:tailEnd/>
                    </a:ln>
                  </pic:spPr>
                </pic:pic>
              </a:graphicData>
            </a:graphic>
          </wp:inline>
        </w:drawing>
      </w:r>
    </w:p>
    <w:p w:rsidR="00B804F5" w:rsidRPr="00B804F5" w:rsidRDefault="00B804F5" w:rsidP="005F7A9B">
      <w:pPr>
        <w:spacing w:after="0" w:line="240" w:lineRule="auto"/>
        <w:rPr>
          <w:rFonts w:ascii="Times New Roman" w:hAnsi="Times New Roman"/>
          <w:b/>
          <w:sz w:val="24"/>
          <w:szCs w:val="24"/>
        </w:rPr>
      </w:pPr>
      <w:r w:rsidRPr="00B804F5">
        <w:rPr>
          <w:rFonts w:ascii="Times New Roman" w:hAnsi="Times New Roman"/>
          <w:b/>
          <w:sz w:val="24"/>
          <w:szCs w:val="24"/>
        </w:rPr>
        <w:lastRenderedPageBreak/>
        <w:t>High Risk Pool Savings</w:t>
      </w:r>
      <w:r w:rsidR="00543C94">
        <w:rPr>
          <w:rFonts w:ascii="Times New Roman" w:hAnsi="Times New Roman"/>
          <w:b/>
          <w:sz w:val="24"/>
          <w:szCs w:val="24"/>
        </w:rPr>
        <w:t xml:space="preserve"> (HIPUtah and FHRP)</w:t>
      </w:r>
    </w:p>
    <w:p w:rsidR="00B804F5" w:rsidRDefault="00B804F5" w:rsidP="005F7A9B">
      <w:pPr>
        <w:spacing w:after="0" w:line="240" w:lineRule="auto"/>
        <w:rPr>
          <w:rFonts w:ascii="Times New Roman" w:hAnsi="Times New Roman"/>
          <w:b/>
          <w:color w:val="548DD4" w:themeColor="text2" w:themeTint="99"/>
          <w:sz w:val="28"/>
          <w:szCs w:val="24"/>
        </w:rPr>
      </w:pPr>
    </w:p>
    <w:p w:rsidR="0090212A" w:rsidRDefault="00B804F5" w:rsidP="00B804F5">
      <w:pPr>
        <w:spacing w:after="0" w:line="240" w:lineRule="auto"/>
        <w:rPr>
          <w:rFonts w:ascii="Times New Roman" w:hAnsi="Times New Roman"/>
          <w:sz w:val="24"/>
          <w:szCs w:val="24"/>
        </w:rPr>
      </w:pPr>
      <w:r w:rsidRPr="00B804F5">
        <w:rPr>
          <w:rFonts w:ascii="Times New Roman" w:hAnsi="Times New Roman"/>
          <w:sz w:val="24"/>
          <w:szCs w:val="24"/>
        </w:rPr>
        <w:t>The</w:t>
      </w:r>
      <w:r>
        <w:rPr>
          <w:rFonts w:ascii="Times New Roman" w:hAnsi="Times New Roman"/>
          <w:sz w:val="24"/>
          <w:szCs w:val="24"/>
        </w:rPr>
        <w:t xml:space="preserve"> Utah Comprehensive Health </w:t>
      </w:r>
      <w:r w:rsidR="004A5324">
        <w:rPr>
          <w:rFonts w:ascii="Times New Roman" w:hAnsi="Times New Roman"/>
          <w:sz w:val="24"/>
          <w:szCs w:val="24"/>
        </w:rPr>
        <w:t>I</w:t>
      </w:r>
      <w:r>
        <w:rPr>
          <w:rFonts w:ascii="Times New Roman" w:hAnsi="Times New Roman"/>
          <w:sz w:val="24"/>
          <w:szCs w:val="24"/>
        </w:rPr>
        <w:t xml:space="preserve">nsurance Pool (HIPUtah) </w:t>
      </w:r>
      <w:r w:rsidR="00543C94">
        <w:rPr>
          <w:rFonts w:ascii="Times New Roman" w:hAnsi="Times New Roman"/>
          <w:sz w:val="24"/>
          <w:szCs w:val="24"/>
        </w:rPr>
        <w:t xml:space="preserve">and Federal </w:t>
      </w:r>
      <w:r w:rsidR="000B0225">
        <w:rPr>
          <w:rFonts w:ascii="Times New Roman" w:hAnsi="Times New Roman"/>
          <w:sz w:val="24"/>
          <w:szCs w:val="24"/>
        </w:rPr>
        <w:t xml:space="preserve">Qualified High Risk Pool (FHRP / Federal HIPUtah) </w:t>
      </w:r>
      <w:r w:rsidR="0090212A">
        <w:rPr>
          <w:rFonts w:ascii="Times New Roman" w:hAnsi="Times New Roman"/>
          <w:sz w:val="24"/>
          <w:szCs w:val="24"/>
        </w:rPr>
        <w:t>currently serve</w:t>
      </w:r>
      <w:r>
        <w:rPr>
          <w:rFonts w:ascii="Times New Roman" w:hAnsi="Times New Roman"/>
          <w:sz w:val="24"/>
          <w:szCs w:val="24"/>
        </w:rPr>
        <w:t xml:space="preserve"> as an important safety net in Utah to cover individuals who have been denied health insurance coverage because of their medical status. </w:t>
      </w:r>
      <w:r w:rsidR="0090212A">
        <w:rPr>
          <w:rFonts w:ascii="Times New Roman" w:hAnsi="Times New Roman"/>
          <w:sz w:val="24"/>
          <w:szCs w:val="24"/>
        </w:rPr>
        <w:t>However both must be funded (at least in part) by state dollars.</w:t>
      </w:r>
      <w:r>
        <w:rPr>
          <w:rFonts w:ascii="Times New Roman" w:hAnsi="Times New Roman"/>
          <w:sz w:val="24"/>
          <w:szCs w:val="24"/>
        </w:rPr>
        <w:t xml:space="preserve"> </w:t>
      </w:r>
    </w:p>
    <w:p w:rsidR="0090212A" w:rsidRDefault="0090212A" w:rsidP="00B804F5">
      <w:pPr>
        <w:spacing w:after="0" w:line="240" w:lineRule="auto"/>
        <w:rPr>
          <w:rFonts w:ascii="Times New Roman" w:hAnsi="Times New Roman"/>
          <w:sz w:val="24"/>
          <w:szCs w:val="24"/>
        </w:rPr>
      </w:pPr>
    </w:p>
    <w:p w:rsidR="00B804F5" w:rsidRDefault="00D35B6F" w:rsidP="00B804F5">
      <w:pPr>
        <w:spacing w:after="0" w:line="240" w:lineRule="auto"/>
        <w:rPr>
          <w:rFonts w:ascii="Times New Roman" w:hAnsi="Times New Roman"/>
          <w:sz w:val="24"/>
          <w:szCs w:val="24"/>
        </w:rPr>
      </w:pPr>
      <w:r>
        <w:rPr>
          <w:rFonts w:ascii="Times New Roman" w:hAnsi="Times New Roman"/>
          <w:sz w:val="24"/>
          <w:szCs w:val="24"/>
        </w:rPr>
        <w:t xml:space="preserve">The Affordable Care Act provides changes to insurance rules by creating community ratings and in turn eliminates the need for high risk pools. The State of Utah will accrue savings due to changes in insurance law and not Medicaid expansion. </w:t>
      </w:r>
      <w:r w:rsidR="00F46A04">
        <w:rPr>
          <w:rFonts w:ascii="Times New Roman" w:hAnsi="Times New Roman"/>
          <w:sz w:val="24"/>
          <w:szCs w:val="24"/>
        </w:rPr>
        <w:t>Therefore, for the Medicaid expansion scenarios,</w:t>
      </w:r>
      <w:r w:rsidR="00543C94">
        <w:rPr>
          <w:rFonts w:ascii="Times New Roman" w:hAnsi="Times New Roman"/>
          <w:sz w:val="24"/>
          <w:szCs w:val="24"/>
        </w:rPr>
        <w:t xml:space="preserve"> it is assumed that both the HIPUtah and Federal HIP Utah programs will be dissolving on January 1</w:t>
      </w:r>
      <w:r w:rsidR="00543C94" w:rsidRPr="00543C94">
        <w:rPr>
          <w:rFonts w:ascii="Times New Roman" w:hAnsi="Times New Roman"/>
          <w:sz w:val="24"/>
          <w:szCs w:val="24"/>
          <w:vertAlign w:val="superscript"/>
        </w:rPr>
        <w:t>st</w:t>
      </w:r>
      <w:r w:rsidR="00543C94">
        <w:rPr>
          <w:rFonts w:ascii="Times New Roman" w:hAnsi="Times New Roman"/>
          <w:sz w:val="24"/>
          <w:szCs w:val="24"/>
        </w:rPr>
        <w:t xml:space="preserve"> 2014.  It is also assumed that 100% of all individuals who fall into the appropriate Federal Poverty Level brackets (138% and 100%) will enroll into Medicaid. Individuals above 138% of the Federal Poverty Level will be free to enroll in the health insurance exchange in the state and pre-existing condition exclusions will be prohibited.  </w:t>
      </w:r>
      <w:r w:rsidR="000B0225">
        <w:rPr>
          <w:rFonts w:ascii="Times New Roman" w:hAnsi="Times New Roman"/>
          <w:sz w:val="24"/>
          <w:szCs w:val="24"/>
        </w:rPr>
        <w:t xml:space="preserve">Savings for HIPUtah and Federal HIPUtah have been combined and split across 138% of FPL and 100% of FPL. </w:t>
      </w:r>
    </w:p>
    <w:p w:rsidR="000B0225" w:rsidRDefault="000B0225" w:rsidP="00B804F5">
      <w:pPr>
        <w:spacing w:after="0" w:line="240" w:lineRule="auto"/>
        <w:rPr>
          <w:rFonts w:ascii="Times New Roman" w:hAnsi="Times New Roman"/>
          <w:sz w:val="24"/>
          <w:szCs w:val="24"/>
        </w:rPr>
      </w:pPr>
    </w:p>
    <w:p w:rsidR="00B804F5" w:rsidRDefault="000B0225" w:rsidP="00504105">
      <w:pPr>
        <w:spacing w:after="0" w:line="240" w:lineRule="auto"/>
        <w:rPr>
          <w:rFonts w:ascii="Times New Roman" w:hAnsi="Times New Roman"/>
          <w:sz w:val="24"/>
          <w:szCs w:val="24"/>
        </w:rPr>
      </w:pPr>
      <w:r>
        <w:rPr>
          <w:rFonts w:ascii="Times New Roman" w:hAnsi="Times New Roman"/>
          <w:sz w:val="24"/>
          <w:szCs w:val="24"/>
        </w:rPr>
        <w:t xml:space="preserve">Population estimates received from the Utah Department of Insurance have been extrapolated into future years and per member per year costs have </w:t>
      </w:r>
      <w:r w:rsidR="00504105">
        <w:rPr>
          <w:rFonts w:ascii="Times New Roman" w:hAnsi="Times New Roman"/>
          <w:sz w:val="24"/>
          <w:szCs w:val="24"/>
        </w:rPr>
        <w:t>been multiplied across population estimates to obtain projected annual expenditures for both HIPUtah and Federal HIPUtah.  Annual premium revenues have been removed from the annual expenditure totals and the state and federal contribution projections are realized through pending the continuation of the program.  It is assumed both the state and federal program will dissolve in 2014 and the participants will enroll in either the exchange or Medicaid expansion population.  The HIPUtah participants will receive the enhanced Federal match under Medicaid expansion and will no longer be responsible for a premium contribution and the Federal HIPUtah participants will received a decreasing federal match (as they are currently 100% federally funded post premium revenue).</w:t>
      </w:r>
    </w:p>
    <w:p w:rsidR="00504105" w:rsidRDefault="00504105" w:rsidP="00504105">
      <w:pPr>
        <w:spacing w:after="0" w:line="240" w:lineRule="auto"/>
        <w:rPr>
          <w:rFonts w:ascii="Times New Roman" w:hAnsi="Times New Roman"/>
          <w:sz w:val="24"/>
          <w:szCs w:val="24"/>
        </w:rPr>
      </w:pPr>
    </w:p>
    <w:p w:rsidR="00B804F5" w:rsidRDefault="00504105" w:rsidP="005F7A9B">
      <w:pPr>
        <w:spacing w:after="0" w:line="240" w:lineRule="auto"/>
        <w:rPr>
          <w:rFonts w:ascii="Times New Roman" w:hAnsi="Times New Roman"/>
          <w:b/>
          <w:color w:val="548DD4" w:themeColor="text2" w:themeTint="99"/>
          <w:sz w:val="28"/>
          <w:szCs w:val="24"/>
        </w:rPr>
        <w:sectPr w:rsidR="00B804F5" w:rsidSect="005F7A9B">
          <w:pgSz w:w="12240" w:h="15840"/>
          <w:pgMar w:top="576" w:right="1440" w:bottom="288" w:left="1440" w:header="720" w:footer="720" w:gutter="0"/>
          <w:cols w:space="720"/>
          <w:docGrid w:linePitch="360"/>
        </w:sectPr>
      </w:pPr>
      <w:r>
        <w:rPr>
          <w:rFonts w:ascii="Times New Roman" w:hAnsi="Times New Roman"/>
          <w:sz w:val="24"/>
          <w:szCs w:val="24"/>
        </w:rPr>
        <w:t>The state will ultimately save money through dissolving the HIPUtah program</w:t>
      </w:r>
      <w:r w:rsidR="004445FF">
        <w:rPr>
          <w:rFonts w:ascii="Times New Roman" w:hAnsi="Times New Roman"/>
          <w:sz w:val="24"/>
          <w:szCs w:val="24"/>
        </w:rPr>
        <w:t xml:space="preserve"> </w:t>
      </w:r>
      <w:r w:rsidR="00AE3FA7">
        <w:rPr>
          <w:rFonts w:ascii="Times New Roman" w:hAnsi="Times New Roman"/>
          <w:sz w:val="24"/>
          <w:szCs w:val="24"/>
        </w:rPr>
        <w:t xml:space="preserve">through an increased Federal match on both the HIPUtah and Federal HIPUtah </w:t>
      </w:r>
      <w:r w:rsidR="003D1521">
        <w:rPr>
          <w:rFonts w:ascii="Times New Roman" w:hAnsi="Times New Roman"/>
          <w:sz w:val="24"/>
          <w:szCs w:val="24"/>
        </w:rPr>
        <w:t xml:space="preserve">programs despite the </w:t>
      </w:r>
      <w:r w:rsidR="004445FF">
        <w:rPr>
          <w:rFonts w:ascii="Times New Roman" w:hAnsi="Times New Roman"/>
          <w:sz w:val="24"/>
          <w:szCs w:val="24"/>
        </w:rPr>
        <w:t>absor</w:t>
      </w:r>
      <w:r w:rsidR="003D1521">
        <w:rPr>
          <w:rFonts w:ascii="Times New Roman" w:hAnsi="Times New Roman"/>
          <w:sz w:val="24"/>
          <w:szCs w:val="24"/>
        </w:rPr>
        <w:t xml:space="preserve">ption of </w:t>
      </w:r>
      <w:r w:rsidR="004445FF">
        <w:rPr>
          <w:rFonts w:ascii="Times New Roman" w:hAnsi="Times New Roman"/>
          <w:sz w:val="24"/>
          <w:szCs w:val="24"/>
        </w:rPr>
        <w:t>additional costs from the dissolution of the Federal HIPUtah program</w:t>
      </w:r>
      <w:r w:rsidR="003D1521" w:rsidRPr="003D1521">
        <w:rPr>
          <w:rFonts w:ascii="Times New Roman" w:hAnsi="Times New Roman"/>
          <w:sz w:val="24"/>
          <w:szCs w:val="24"/>
        </w:rPr>
        <w:t>.</w:t>
      </w:r>
      <w:r w:rsidR="00273389" w:rsidRPr="00273389">
        <w:rPr>
          <w:rFonts w:ascii="Times New Roman" w:hAnsi="Times New Roman"/>
          <w:b/>
          <w:color w:val="548DD4" w:themeColor="text2" w:themeTint="99"/>
          <w:sz w:val="24"/>
          <w:szCs w:val="24"/>
        </w:rPr>
        <w:t xml:space="preserve">  </w:t>
      </w:r>
      <w:r w:rsidR="00D572AA" w:rsidRPr="00D572AA">
        <w:rPr>
          <w:rFonts w:ascii="Times New Roman" w:hAnsi="Times New Roman"/>
          <w:sz w:val="24"/>
          <w:szCs w:val="24"/>
        </w:rPr>
        <w:t>These savings will yield to the State General Fund and not directly to the Utah Department of Health as they are a result of insurance regulatory changes.</w:t>
      </w:r>
    </w:p>
    <w:p w:rsidR="00BD1610" w:rsidRPr="00BD1610" w:rsidRDefault="00BD1610" w:rsidP="00BD1610">
      <w:pPr>
        <w:spacing w:after="0" w:line="240" w:lineRule="auto"/>
        <w:rPr>
          <w:rFonts w:ascii="Times New Roman" w:hAnsi="Times New Roman"/>
          <w:sz w:val="24"/>
          <w:szCs w:val="24"/>
        </w:rPr>
      </w:pPr>
      <w:r w:rsidRPr="00BD1610">
        <w:rPr>
          <w:rFonts w:ascii="Times New Roman" w:hAnsi="Times New Roman"/>
          <w:sz w:val="24"/>
          <w:szCs w:val="24"/>
        </w:rPr>
        <w:lastRenderedPageBreak/>
        <w:t>High Risk Pool Savings (HIPUtah and FHRP)</w:t>
      </w:r>
      <w:r>
        <w:rPr>
          <w:rFonts w:ascii="Times New Roman" w:hAnsi="Times New Roman"/>
          <w:sz w:val="24"/>
          <w:szCs w:val="24"/>
        </w:rPr>
        <w:t xml:space="preserve"> 138% FPL</w:t>
      </w:r>
    </w:p>
    <w:p w:rsidR="00B804F5" w:rsidRDefault="00BD1610" w:rsidP="005F7A9B">
      <w:pPr>
        <w:spacing w:after="0" w:line="240" w:lineRule="auto"/>
        <w:rPr>
          <w:rFonts w:ascii="Times New Roman" w:hAnsi="Times New Roman"/>
          <w:b/>
          <w:color w:val="548DD4" w:themeColor="text2" w:themeTint="99"/>
          <w:sz w:val="28"/>
          <w:szCs w:val="24"/>
        </w:rPr>
      </w:pPr>
      <w:r w:rsidRPr="00BD1610">
        <w:rPr>
          <w:noProof/>
          <w:szCs w:val="24"/>
          <w:lang w:eastAsia="en-US"/>
        </w:rPr>
        <w:drawing>
          <wp:inline distT="0" distB="0" distL="0" distR="0">
            <wp:extent cx="9509760" cy="4891578"/>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9509760" cy="4891578"/>
                    </a:xfrm>
                    <a:prstGeom prst="rect">
                      <a:avLst/>
                    </a:prstGeom>
                    <a:noFill/>
                    <a:ln w="9525">
                      <a:noFill/>
                      <a:miter lim="800000"/>
                      <a:headEnd/>
                      <a:tailEnd/>
                    </a:ln>
                  </pic:spPr>
                </pic:pic>
              </a:graphicData>
            </a:graphic>
          </wp:inline>
        </w:drawing>
      </w:r>
    </w:p>
    <w:p w:rsidR="00BD1610" w:rsidRPr="00BD1610" w:rsidRDefault="00BD1610" w:rsidP="00BD1610">
      <w:pPr>
        <w:spacing w:after="0" w:line="240" w:lineRule="auto"/>
        <w:rPr>
          <w:rFonts w:ascii="Times New Roman" w:hAnsi="Times New Roman"/>
          <w:sz w:val="24"/>
          <w:szCs w:val="24"/>
        </w:rPr>
      </w:pPr>
      <w:r w:rsidRPr="00BD1610">
        <w:rPr>
          <w:rFonts w:ascii="Times New Roman" w:hAnsi="Times New Roman"/>
          <w:sz w:val="24"/>
          <w:szCs w:val="24"/>
        </w:rPr>
        <w:lastRenderedPageBreak/>
        <w:t>High Risk Pool Savings (HIPUtah and FHRP)</w:t>
      </w:r>
      <w:r>
        <w:rPr>
          <w:rFonts w:ascii="Times New Roman" w:hAnsi="Times New Roman"/>
          <w:sz w:val="24"/>
          <w:szCs w:val="24"/>
        </w:rPr>
        <w:t xml:space="preserve"> 100% FPL</w:t>
      </w:r>
    </w:p>
    <w:p w:rsidR="00B804F5" w:rsidRDefault="00BD1610" w:rsidP="005F7A9B">
      <w:pPr>
        <w:spacing w:after="0" w:line="240" w:lineRule="auto"/>
        <w:rPr>
          <w:rFonts w:ascii="Times New Roman" w:hAnsi="Times New Roman"/>
          <w:b/>
          <w:color w:val="548DD4" w:themeColor="text2" w:themeTint="99"/>
          <w:sz w:val="28"/>
          <w:szCs w:val="24"/>
        </w:rPr>
      </w:pPr>
      <w:r w:rsidRPr="00BD1610">
        <w:rPr>
          <w:noProof/>
          <w:szCs w:val="24"/>
          <w:lang w:eastAsia="en-US"/>
        </w:rPr>
        <w:drawing>
          <wp:inline distT="0" distB="0" distL="0" distR="0">
            <wp:extent cx="9420225" cy="4781550"/>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9458262" cy="4800857"/>
                    </a:xfrm>
                    <a:prstGeom prst="rect">
                      <a:avLst/>
                    </a:prstGeom>
                    <a:noFill/>
                    <a:ln w="9525">
                      <a:noFill/>
                      <a:miter lim="800000"/>
                      <a:headEnd/>
                      <a:tailEnd/>
                    </a:ln>
                  </pic:spPr>
                </pic:pic>
              </a:graphicData>
            </a:graphic>
          </wp:inline>
        </w:drawing>
      </w:r>
    </w:p>
    <w:p w:rsidR="00B804F5" w:rsidRDefault="00B804F5" w:rsidP="005F7A9B">
      <w:pPr>
        <w:spacing w:after="0" w:line="240" w:lineRule="auto"/>
        <w:rPr>
          <w:rFonts w:ascii="Times New Roman" w:hAnsi="Times New Roman"/>
          <w:b/>
          <w:color w:val="548DD4" w:themeColor="text2" w:themeTint="99"/>
          <w:sz w:val="28"/>
          <w:szCs w:val="24"/>
        </w:rPr>
      </w:pPr>
    </w:p>
    <w:p w:rsidR="00BD1610" w:rsidRDefault="00BD1610" w:rsidP="005F7A9B">
      <w:pPr>
        <w:spacing w:after="0" w:line="240" w:lineRule="auto"/>
        <w:rPr>
          <w:rFonts w:ascii="Times New Roman" w:hAnsi="Times New Roman"/>
          <w:b/>
          <w:color w:val="548DD4" w:themeColor="text2" w:themeTint="99"/>
          <w:sz w:val="28"/>
          <w:szCs w:val="24"/>
        </w:rPr>
        <w:sectPr w:rsidR="00BD1610" w:rsidSect="00BD1610">
          <w:pgSz w:w="15840" w:h="12240" w:orient="landscape"/>
          <w:pgMar w:top="1440" w:right="288" w:bottom="1440" w:left="576" w:header="720" w:footer="720" w:gutter="0"/>
          <w:cols w:space="720"/>
          <w:docGrid w:linePitch="360"/>
        </w:sectPr>
      </w:pPr>
    </w:p>
    <w:p w:rsidR="00C80065" w:rsidRPr="00181A60" w:rsidRDefault="00C80065" w:rsidP="005F7A9B">
      <w:pPr>
        <w:spacing w:after="0" w:line="240" w:lineRule="auto"/>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Medically Needy Savings</w:t>
      </w:r>
    </w:p>
    <w:p w:rsidR="000F4A89" w:rsidRPr="000F4A89" w:rsidRDefault="000F4A89" w:rsidP="000F4A89">
      <w:pPr>
        <w:rPr>
          <w:rFonts w:ascii="Times New Roman" w:hAnsi="Times New Roman"/>
          <w:b/>
          <w:sz w:val="24"/>
          <w:szCs w:val="24"/>
        </w:rPr>
      </w:pPr>
      <w:r w:rsidRPr="000F4A89">
        <w:rPr>
          <w:rFonts w:ascii="Times New Roman" w:hAnsi="Times New Roman"/>
          <w:b/>
          <w:sz w:val="24"/>
          <w:szCs w:val="24"/>
        </w:rPr>
        <w:t>Analysis of Cost of Adding Current Medically Needy to Regular Medicaid</w:t>
      </w:r>
      <w:r w:rsidRPr="000F4A89">
        <w:rPr>
          <w:rFonts w:ascii="Times New Roman" w:hAnsi="Times New Roman"/>
          <w:b/>
          <w:sz w:val="24"/>
          <w:szCs w:val="24"/>
        </w:rPr>
        <w:tab/>
      </w:r>
      <w:r w:rsidRPr="000F4A89">
        <w:rPr>
          <w:rFonts w:ascii="Times New Roman" w:hAnsi="Times New Roman"/>
          <w:b/>
          <w:sz w:val="24"/>
          <w:szCs w:val="24"/>
        </w:rPr>
        <w:tab/>
      </w:r>
      <w:r w:rsidRPr="000F4A89">
        <w:rPr>
          <w:rFonts w:ascii="Times New Roman" w:hAnsi="Times New Roman"/>
          <w:b/>
          <w:sz w:val="24"/>
          <w:szCs w:val="24"/>
        </w:rPr>
        <w:tab/>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 xml:space="preserve">The purpose of the analysis is to estimate the cost or savings to the state if and when persons on the current Medically Needy program receive Medicaid eligibility under the provisions of the Affordable Care Act (ACA). The major conclusion of this analysis is that the state will incur a new Medicaid expense of </w:t>
      </w:r>
      <w:r w:rsidRPr="000F4A89">
        <w:rPr>
          <w:rFonts w:ascii="Times New Roman" w:hAnsi="Times New Roman"/>
          <w:bCs/>
          <w:color w:val="000000"/>
          <w:sz w:val="24"/>
          <w:szCs w:val="24"/>
        </w:rPr>
        <w:t xml:space="preserve">$681,086 because some persons that were previously on the Medically Needy program and had </w:t>
      </w:r>
      <w:proofErr w:type="gramStart"/>
      <w:r w:rsidRPr="000F4A89">
        <w:rPr>
          <w:rFonts w:ascii="Times New Roman" w:hAnsi="Times New Roman"/>
          <w:bCs/>
          <w:color w:val="000000"/>
          <w:sz w:val="24"/>
          <w:szCs w:val="24"/>
        </w:rPr>
        <w:t>a</w:t>
      </w:r>
      <w:r w:rsidR="00CA697E">
        <w:rPr>
          <w:rFonts w:ascii="Times New Roman" w:hAnsi="Times New Roman"/>
          <w:bCs/>
          <w:color w:val="000000"/>
          <w:sz w:val="24"/>
          <w:szCs w:val="24"/>
        </w:rPr>
        <w:t xml:space="preserve"> </w:t>
      </w:r>
      <w:r w:rsidRPr="000F4A89">
        <w:rPr>
          <w:rFonts w:ascii="Times New Roman" w:hAnsi="Times New Roman"/>
          <w:bCs/>
          <w:color w:val="000000"/>
          <w:sz w:val="24"/>
          <w:szCs w:val="24"/>
        </w:rPr>
        <w:t>spend</w:t>
      </w:r>
      <w:proofErr w:type="gramEnd"/>
      <w:r w:rsidRPr="000F4A89">
        <w:rPr>
          <w:rFonts w:ascii="Times New Roman" w:hAnsi="Times New Roman"/>
          <w:bCs/>
          <w:color w:val="000000"/>
          <w:sz w:val="24"/>
          <w:szCs w:val="24"/>
        </w:rPr>
        <w:t xml:space="preserve"> down will now be eligible for Medicaid services without a spend down. </w:t>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PCG received information on the Medically Needy program from Utah staff. This information contained data, by aid category on:</w:t>
      </w:r>
    </w:p>
    <w:p w:rsidR="000F4A89" w:rsidRPr="000F4A89" w:rsidRDefault="000F4A89" w:rsidP="000F4A89">
      <w:pPr>
        <w:pStyle w:val="ListParagraph"/>
        <w:numPr>
          <w:ilvl w:val="0"/>
          <w:numId w:val="22"/>
        </w:numPr>
        <w:jc w:val="both"/>
        <w:rPr>
          <w:rFonts w:ascii="Times New Roman" w:hAnsi="Times New Roman"/>
          <w:sz w:val="24"/>
          <w:szCs w:val="24"/>
        </w:rPr>
      </w:pPr>
      <w:r w:rsidRPr="000F4A89">
        <w:rPr>
          <w:rFonts w:ascii="Times New Roman" w:hAnsi="Times New Roman"/>
          <w:sz w:val="24"/>
          <w:szCs w:val="24"/>
        </w:rPr>
        <w:t>The number of enrollee months in 2012;</w:t>
      </w:r>
    </w:p>
    <w:p w:rsidR="000F4A89" w:rsidRPr="000F4A89" w:rsidRDefault="000F4A89" w:rsidP="000F4A89">
      <w:pPr>
        <w:pStyle w:val="ListParagraph"/>
        <w:numPr>
          <w:ilvl w:val="0"/>
          <w:numId w:val="22"/>
        </w:numPr>
        <w:jc w:val="both"/>
        <w:rPr>
          <w:rFonts w:ascii="Times New Roman" w:hAnsi="Times New Roman"/>
          <w:sz w:val="24"/>
          <w:szCs w:val="24"/>
        </w:rPr>
      </w:pPr>
      <w:r w:rsidRPr="000F4A89">
        <w:rPr>
          <w:rFonts w:ascii="Times New Roman" w:hAnsi="Times New Roman"/>
          <w:sz w:val="24"/>
          <w:szCs w:val="24"/>
        </w:rPr>
        <w:t>The average length of stay (ALOS) persons were on Medically Needy program, and</w:t>
      </w:r>
    </w:p>
    <w:p w:rsidR="000F4A89" w:rsidRPr="000F4A89" w:rsidRDefault="000F4A89" w:rsidP="000F4A89">
      <w:pPr>
        <w:pStyle w:val="ListParagraph"/>
        <w:numPr>
          <w:ilvl w:val="0"/>
          <w:numId w:val="22"/>
        </w:numPr>
        <w:jc w:val="both"/>
        <w:rPr>
          <w:rFonts w:ascii="Times New Roman" w:hAnsi="Times New Roman"/>
          <w:sz w:val="24"/>
          <w:szCs w:val="24"/>
        </w:rPr>
      </w:pPr>
      <w:r w:rsidRPr="000F4A89">
        <w:rPr>
          <w:rFonts w:ascii="Times New Roman" w:hAnsi="Times New Roman"/>
          <w:sz w:val="24"/>
          <w:szCs w:val="24"/>
        </w:rPr>
        <w:t>The average annual Medicaid cost per person.</w:t>
      </w:r>
      <w:r w:rsidRPr="000F4A89">
        <w:rPr>
          <w:rFonts w:ascii="Times New Roman" w:hAnsi="Times New Roman"/>
          <w:sz w:val="24"/>
          <w:szCs w:val="24"/>
        </w:rPr>
        <w:tab/>
      </w:r>
      <w:r w:rsidRPr="000F4A89">
        <w:rPr>
          <w:rFonts w:ascii="Times New Roman" w:hAnsi="Times New Roman"/>
          <w:sz w:val="24"/>
          <w:szCs w:val="24"/>
        </w:rPr>
        <w:tab/>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This information was used to calculate the total funds spent on Medically Needy participants as reflected in the information provided. The calculation is presented in the table below.</w:t>
      </w:r>
    </w:p>
    <w:p w:rsidR="00221926" w:rsidRDefault="00221926" w:rsidP="00221926">
      <w:pPr>
        <w:jc w:val="center"/>
        <w:rPr>
          <w:rFonts w:ascii="Times New Roman" w:hAnsi="Times New Roman"/>
          <w:sz w:val="24"/>
          <w:szCs w:val="24"/>
        </w:rPr>
      </w:pPr>
      <w:r w:rsidRPr="00221926">
        <w:rPr>
          <w:noProof/>
          <w:szCs w:val="24"/>
          <w:lang w:eastAsia="en-US"/>
        </w:rPr>
        <w:drawing>
          <wp:inline distT="0" distB="0" distL="0" distR="0">
            <wp:extent cx="5943600" cy="1813735"/>
            <wp:effectExtent l="19050" t="0" r="0" b="0"/>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srcRect/>
                    <a:stretch>
                      <a:fillRect/>
                    </a:stretch>
                  </pic:blipFill>
                  <pic:spPr bwMode="auto">
                    <a:xfrm>
                      <a:off x="0" y="0"/>
                      <a:ext cx="5943600" cy="1813735"/>
                    </a:xfrm>
                    <a:prstGeom prst="rect">
                      <a:avLst/>
                    </a:prstGeom>
                    <a:noFill/>
                    <a:ln w="9525">
                      <a:noFill/>
                      <a:miter lim="800000"/>
                      <a:headEnd/>
                      <a:tailEnd/>
                    </a:ln>
                  </pic:spPr>
                </pic:pic>
              </a:graphicData>
            </a:graphic>
          </wp:inline>
        </w:drawing>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PCG also received a data base of 30,682 records of monthly information at the individual level containing:</w:t>
      </w:r>
    </w:p>
    <w:p w:rsidR="000F4A89" w:rsidRPr="000F4A89" w:rsidRDefault="000F4A89" w:rsidP="000F4A89">
      <w:pPr>
        <w:pStyle w:val="ListParagraph"/>
        <w:numPr>
          <w:ilvl w:val="0"/>
          <w:numId w:val="23"/>
        </w:numPr>
        <w:jc w:val="both"/>
        <w:rPr>
          <w:rFonts w:ascii="Times New Roman" w:hAnsi="Times New Roman"/>
          <w:sz w:val="24"/>
          <w:szCs w:val="24"/>
        </w:rPr>
      </w:pPr>
      <w:r w:rsidRPr="000F4A89">
        <w:rPr>
          <w:rFonts w:ascii="Times New Roman" w:hAnsi="Times New Roman"/>
          <w:sz w:val="24"/>
          <w:szCs w:val="24"/>
        </w:rPr>
        <w:t>The number of persons in the household;</w:t>
      </w:r>
    </w:p>
    <w:p w:rsidR="000F4A89" w:rsidRPr="000F4A89" w:rsidRDefault="000F4A89" w:rsidP="000F4A89">
      <w:pPr>
        <w:pStyle w:val="ListParagraph"/>
        <w:numPr>
          <w:ilvl w:val="0"/>
          <w:numId w:val="23"/>
        </w:numPr>
        <w:jc w:val="both"/>
        <w:rPr>
          <w:rFonts w:ascii="Times New Roman" w:hAnsi="Times New Roman"/>
          <w:sz w:val="24"/>
          <w:szCs w:val="24"/>
        </w:rPr>
      </w:pPr>
      <w:r w:rsidRPr="000F4A89">
        <w:rPr>
          <w:rFonts w:ascii="Times New Roman" w:hAnsi="Times New Roman"/>
          <w:sz w:val="24"/>
          <w:szCs w:val="24"/>
        </w:rPr>
        <w:t>The age of the person;</w:t>
      </w:r>
    </w:p>
    <w:p w:rsidR="000F4A89" w:rsidRPr="000F4A89" w:rsidRDefault="000F4A89" w:rsidP="000F4A89">
      <w:pPr>
        <w:pStyle w:val="ListParagraph"/>
        <w:numPr>
          <w:ilvl w:val="0"/>
          <w:numId w:val="23"/>
        </w:numPr>
        <w:jc w:val="both"/>
        <w:rPr>
          <w:rFonts w:ascii="Times New Roman" w:hAnsi="Times New Roman"/>
          <w:sz w:val="24"/>
          <w:szCs w:val="24"/>
        </w:rPr>
      </w:pPr>
      <w:r w:rsidRPr="000F4A89">
        <w:rPr>
          <w:rFonts w:ascii="Times New Roman" w:hAnsi="Times New Roman"/>
          <w:sz w:val="24"/>
          <w:szCs w:val="24"/>
        </w:rPr>
        <w:t>The countable income of the person, and</w:t>
      </w:r>
    </w:p>
    <w:p w:rsidR="000F4A89" w:rsidRPr="000F4A89" w:rsidRDefault="000F4A89" w:rsidP="000F4A89">
      <w:pPr>
        <w:pStyle w:val="ListParagraph"/>
        <w:numPr>
          <w:ilvl w:val="0"/>
          <w:numId w:val="23"/>
        </w:numPr>
        <w:jc w:val="both"/>
        <w:rPr>
          <w:rFonts w:ascii="Times New Roman" w:hAnsi="Times New Roman"/>
          <w:sz w:val="24"/>
          <w:szCs w:val="24"/>
        </w:rPr>
      </w:pPr>
      <w:r w:rsidRPr="000F4A89">
        <w:rPr>
          <w:rFonts w:ascii="Times New Roman" w:hAnsi="Times New Roman"/>
          <w:sz w:val="24"/>
          <w:szCs w:val="24"/>
        </w:rPr>
        <w:t xml:space="preserve">The amount of the </w:t>
      </w:r>
      <w:proofErr w:type="gramStart"/>
      <w:r w:rsidRPr="000F4A89">
        <w:rPr>
          <w:rFonts w:ascii="Times New Roman" w:hAnsi="Times New Roman"/>
          <w:sz w:val="24"/>
          <w:szCs w:val="24"/>
        </w:rPr>
        <w:t>person’s spend</w:t>
      </w:r>
      <w:proofErr w:type="gramEnd"/>
      <w:r w:rsidRPr="000F4A89">
        <w:rPr>
          <w:rFonts w:ascii="Times New Roman" w:hAnsi="Times New Roman"/>
          <w:sz w:val="24"/>
          <w:szCs w:val="24"/>
        </w:rPr>
        <w:t xml:space="preserve"> down obligation. </w:t>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From this data base, the aggregate spend down was calculated as follows:</w:t>
      </w:r>
    </w:p>
    <w:p w:rsidR="000F4A89" w:rsidRPr="000F4A89" w:rsidRDefault="006E5210" w:rsidP="00221926">
      <w:pPr>
        <w:jc w:val="center"/>
        <w:rPr>
          <w:rFonts w:ascii="Times New Roman" w:hAnsi="Times New Roman"/>
          <w:b/>
          <w:sz w:val="24"/>
          <w:szCs w:val="24"/>
        </w:rPr>
      </w:pPr>
      <w:r w:rsidRPr="006E5210">
        <w:rPr>
          <w:noProof/>
          <w:szCs w:val="24"/>
          <w:lang w:eastAsia="en-US"/>
        </w:rPr>
        <w:lastRenderedPageBreak/>
        <w:drawing>
          <wp:inline distT="0" distB="0" distL="0" distR="0">
            <wp:extent cx="2705100" cy="1685925"/>
            <wp:effectExtent l="19050" t="0" r="0" b="0"/>
            <wp:docPr id="1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srcRect/>
                    <a:stretch>
                      <a:fillRect/>
                    </a:stretch>
                  </pic:blipFill>
                  <pic:spPr bwMode="auto">
                    <a:xfrm>
                      <a:off x="0" y="0"/>
                      <a:ext cx="2705100" cy="1685925"/>
                    </a:xfrm>
                    <a:prstGeom prst="rect">
                      <a:avLst/>
                    </a:prstGeom>
                    <a:noFill/>
                    <a:ln w="9525">
                      <a:noFill/>
                      <a:miter lim="800000"/>
                      <a:headEnd/>
                      <a:tailEnd/>
                    </a:ln>
                  </pic:spPr>
                </pic:pic>
              </a:graphicData>
            </a:graphic>
          </wp:inline>
        </w:drawing>
      </w:r>
    </w:p>
    <w:p w:rsidR="000F4A89" w:rsidRPr="000F4A89" w:rsidRDefault="000F4A89" w:rsidP="000F4A89">
      <w:pPr>
        <w:rPr>
          <w:rFonts w:ascii="Times New Roman" w:hAnsi="Times New Roman"/>
          <w:b/>
          <w:sz w:val="24"/>
          <w:szCs w:val="24"/>
        </w:rPr>
      </w:pPr>
      <w:r w:rsidRPr="000F4A89">
        <w:rPr>
          <w:rFonts w:ascii="Times New Roman" w:hAnsi="Times New Roman"/>
          <w:b/>
          <w:sz w:val="24"/>
          <w:szCs w:val="24"/>
        </w:rPr>
        <w:t xml:space="preserve">Analysis of the Spend </w:t>
      </w:r>
      <w:proofErr w:type="gramStart"/>
      <w:r w:rsidRPr="000F4A89">
        <w:rPr>
          <w:rFonts w:ascii="Times New Roman" w:hAnsi="Times New Roman"/>
          <w:b/>
          <w:sz w:val="24"/>
          <w:szCs w:val="24"/>
        </w:rPr>
        <w:t>Down</w:t>
      </w:r>
      <w:proofErr w:type="gramEnd"/>
      <w:r w:rsidRPr="000F4A89">
        <w:rPr>
          <w:rFonts w:ascii="Times New Roman" w:hAnsi="Times New Roman"/>
          <w:b/>
          <w:sz w:val="24"/>
          <w:szCs w:val="24"/>
        </w:rPr>
        <w:t xml:space="preserve"> of Persons Aged 65 and older</w:t>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 xml:space="preserve">After the ACA, except for persons aged 65 and older, persons under 138% will be eligible for Medicaid without </w:t>
      </w:r>
      <w:proofErr w:type="gramStart"/>
      <w:r w:rsidRPr="000F4A89">
        <w:rPr>
          <w:rFonts w:ascii="Times New Roman" w:hAnsi="Times New Roman"/>
          <w:sz w:val="24"/>
          <w:szCs w:val="24"/>
        </w:rPr>
        <w:t>a spend</w:t>
      </w:r>
      <w:proofErr w:type="gramEnd"/>
      <w:r w:rsidRPr="000F4A89">
        <w:rPr>
          <w:rFonts w:ascii="Times New Roman" w:hAnsi="Times New Roman"/>
          <w:sz w:val="24"/>
          <w:szCs w:val="24"/>
        </w:rPr>
        <w:t xml:space="preserve"> down. Persons aged 65 and older are not an optional expansion group under the ACA and presumably will continue to remain on the Medically Needy program; which means the persons will continue to be responsible for their spend down. To estimate </w:t>
      </w:r>
      <w:proofErr w:type="gramStart"/>
      <w:r w:rsidRPr="000F4A89">
        <w:rPr>
          <w:rFonts w:ascii="Times New Roman" w:hAnsi="Times New Roman"/>
          <w:sz w:val="24"/>
          <w:szCs w:val="24"/>
        </w:rPr>
        <w:t>their spend</w:t>
      </w:r>
      <w:proofErr w:type="gramEnd"/>
      <w:r w:rsidRPr="000F4A89">
        <w:rPr>
          <w:rFonts w:ascii="Times New Roman" w:hAnsi="Times New Roman"/>
          <w:sz w:val="24"/>
          <w:szCs w:val="24"/>
        </w:rPr>
        <w:t xml:space="preserve"> down, the analysis first estimated how many persons aged 65 and older on the ABD program had income under 100% and how many had income over 100%. The countable income reported for the person was used to estimate their corresponding FPL. “Countable income” is the income remaining after disregards and deductions have been applied. The countable income was used because information on disregards and deductions was not readily available. </w:t>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 xml:space="preserve">This methodology identified 1,256 unique persons aged 65 and older on the ABD program with countable income greater than 100% of the FPL and </w:t>
      </w:r>
      <w:proofErr w:type="gramStart"/>
      <w:r w:rsidRPr="000F4A89">
        <w:rPr>
          <w:rFonts w:ascii="Times New Roman" w:hAnsi="Times New Roman"/>
          <w:sz w:val="24"/>
          <w:szCs w:val="24"/>
        </w:rPr>
        <w:t>their spend</w:t>
      </w:r>
      <w:proofErr w:type="gramEnd"/>
      <w:r w:rsidRPr="000F4A89">
        <w:rPr>
          <w:rFonts w:ascii="Times New Roman" w:hAnsi="Times New Roman"/>
          <w:sz w:val="24"/>
          <w:szCs w:val="24"/>
        </w:rPr>
        <w:t xml:space="preserve"> down amount was $846,361. Persons aged 65 and older in other programs, such as on waivers, were not included in the estimation. The majority of persons aged 65 and older were above 100% FPL.</w:t>
      </w:r>
    </w:p>
    <w:p w:rsidR="000F4A89" w:rsidRPr="000F4A89" w:rsidRDefault="000F4A89" w:rsidP="000F4A89">
      <w:pPr>
        <w:rPr>
          <w:rFonts w:ascii="Times New Roman" w:hAnsi="Times New Roman"/>
          <w:b/>
          <w:sz w:val="24"/>
          <w:szCs w:val="24"/>
        </w:rPr>
      </w:pPr>
      <w:r w:rsidRPr="000F4A89">
        <w:rPr>
          <w:rFonts w:ascii="Times New Roman" w:hAnsi="Times New Roman"/>
          <w:b/>
          <w:sz w:val="24"/>
          <w:szCs w:val="24"/>
        </w:rPr>
        <w:t>Analysis of the 138% FPL Level</w:t>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Excluding persons aged 65 and older on the ABD program, the number of persons over 138% of the Federal Poverty</w:t>
      </w:r>
      <w:r w:rsidR="00A14B57">
        <w:rPr>
          <w:rFonts w:ascii="Times New Roman" w:hAnsi="Times New Roman"/>
          <w:sz w:val="24"/>
          <w:szCs w:val="24"/>
        </w:rPr>
        <w:t xml:space="preserve"> Level (FPL) was estimated. </w:t>
      </w:r>
      <w:proofErr w:type="gramStart"/>
      <w:r w:rsidR="00A14B57">
        <w:rPr>
          <w:rFonts w:ascii="Times New Roman" w:hAnsi="Times New Roman"/>
          <w:sz w:val="24"/>
          <w:szCs w:val="24"/>
        </w:rPr>
        <w:t xml:space="preserve">The </w:t>
      </w:r>
      <w:r w:rsidRPr="000F4A89">
        <w:rPr>
          <w:rFonts w:ascii="Times New Roman" w:hAnsi="Times New Roman"/>
          <w:sz w:val="24"/>
          <w:szCs w:val="24"/>
        </w:rPr>
        <w:t>spend</w:t>
      </w:r>
      <w:proofErr w:type="gramEnd"/>
      <w:r w:rsidRPr="000F4A89">
        <w:rPr>
          <w:rFonts w:ascii="Times New Roman" w:hAnsi="Times New Roman"/>
          <w:sz w:val="24"/>
          <w:szCs w:val="24"/>
        </w:rPr>
        <w:t xml:space="preserve"> down data received by PCG simply listed ABD as the aid category for persons aged 65 and older, persons with visual disabilities, and persons with disabilities. However, PCG also received data on the age of each person and used the age data to back out persons aged 65 and older that were enrolled in the ABD program. Aged persons comprise approximately .30% of the aged, blind and persons with disabilities that are on the Medically Needy program. </w:t>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 xml:space="preserve">Countable income was compared to the FPL for the household size of the person. This methodology identified </w:t>
      </w:r>
      <w:proofErr w:type="gramStart"/>
      <w:r w:rsidRPr="000F4A89">
        <w:rPr>
          <w:rFonts w:ascii="Times New Roman" w:hAnsi="Times New Roman"/>
          <w:sz w:val="24"/>
          <w:szCs w:val="24"/>
        </w:rPr>
        <w:t>a spend</w:t>
      </w:r>
      <w:proofErr w:type="gramEnd"/>
      <w:r w:rsidRPr="000F4A89">
        <w:rPr>
          <w:rFonts w:ascii="Times New Roman" w:hAnsi="Times New Roman"/>
          <w:sz w:val="24"/>
          <w:szCs w:val="24"/>
        </w:rPr>
        <w:t xml:space="preserve"> down of $2,119,970 generated by approximately 560 persons whose countable income exceeded the 138% FPL for a household of the size lived in by the </w:t>
      </w:r>
      <w:r w:rsidRPr="000F4A89">
        <w:rPr>
          <w:rFonts w:ascii="Times New Roman" w:hAnsi="Times New Roman"/>
          <w:sz w:val="24"/>
          <w:szCs w:val="24"/>
        </w:rPr>
        <w:lastRenderedPageBreak/>
        <w:t>person. While the number in the 138% group is smaller, they have larger spend down requirements as contrasted with persons aged 65 and older.</w:t>
      </w:r>
    </w:p>
    <w:p w:rsidR="000F4A89" w:rsidRPr="000F4A89" w:rsidRDefault="000F4A89" w:rsidP="000F4A89">
      <w:pPr>
        <w:rPr>
          <w:rFonts w:ascii="Times New Roman" w:hAnsi="Times New Roman"/>
          <w:b/>
          <w:sz w:val="24"/>
          <w:szCs w:val="24"/>
        </w:rPr>
      </w:pPr>
      <w:r>
        <w:rPr>
          <w:rFonts w:ascii="Times New Roman" w:hAnsi="Times New Roman"/>
          <w:b/>
          <w:sz w:val="24"/>
          <w:szCs w:val="24"/>
        </w:rPr>
        <w:t>S</w:t>
      </w:r>
      <w:r w:rsidRPr="000F4A89">
        <w:rPr>
          <w:rFonts w:ascii="Times New Roman" w:hAnsi="Times New Roman"/>
          <w:b/>
          <w:sz w:val="24"/>
          <w:szCs w:val="24"/>
        </w:rPr>
        <w:t>ummary of Results</w:t>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 xml:space="preserve">The table below summarizes these results </w:t>
      </w:r>
    </w:p>
    <w:p w:rsidR="000F4A89" w:rsidRPr="000F4A89" w:rsidRDefault="006E5210" w:rsidP="00221926">
      <w:pPr>
        <w:jc w:val="center"/>
        <w:rPr>
          <w:rFonts w:ascii="Times New Roman" w:hAnsi="Times New Roman"/>
          <w:sz w:val="24"/>
          <w:szCs w:val="24"/>
        </w:rPr>
      </w:pPr>
      <w:r w:rsidRPr="006E5210">
        <w:rPr>
          <w:noProof/>
          <w:szCs w:val="24"/>
          <w:lang w:eastAsia="en-US"/>
        </w:rPr>
        <w:drawing>
          <wp:inline distT="0" distB="0" distL="0" distR="0">
            <wp:extent cx="4629150" cy="1790700"/>
            <wp:effectExtent l="19050" t="0" r="0" b="0"/>
            <wp:docPr id="10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srcRect/>
                    <a:stretch>
                      <a:fillRect/>
                    </a:stretch>
                  </pic:blipFill>
                  <pic:spPr bwMode="auto">
                    <a:xfrm>
                      <a:off x="0" y="0"/>
                      <a:ext cx="4629150" cy="1790700"/>
                    </a:xfrm>
                    <a:prstGeom prst="rect">
                      <a:avLst/>
                    </a:prstGeom>
                    <a:noFill/>
                    <a:ln w="9525">
                      <a:noFill/>
                      <a:miter lim="800000"/>
                      <a:headEnd/>
                      <a:tailEnd/>
                    </a:ln>
                  </pic:spPr>
                </pic:pic>
              </a:graphicData>
            </a:graphic>
          </wp:inline>
        </w:drawing>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 xml:space="preserve">Assuming the state continues to keep its Medically Needy program, this analysis implies that persons who will continue in the program will pay approximately $2,966,003 dollars </w:t>
      </w:r>
      <w:r w:rsidRPr="000F4A89">
        <w:rPr>
          <w:rFonts w:ascii="Times New Roman" w:hAnsi="Times New Roman"/>
          <w:color w:val="000000"/>
          <w:sz w:val="24"/>
          <w:szCs w:val="24"/>
        </w:rPr>
        <w:t xml:space="preserve">after the implementation of the ACA. </w:t>
      </w:r>
      <w:r w:rsidRPr="000F4A89">
        <w:rPr>
          <w:rFonts w:ascii="Times New Roman" w:hAnsi="Times New Roman"/>
          <w:sz w:val="24"/>
          <w:szCs w:val="24"/>
        </w:rPr>
        <w:t xml:space="preserve">Before the ACA these persons paid for their own medical treatment until they “spent down.” After the ACA, except for persons aged 65 and older, persons under 138% will be eligible for Medicaid without </w:t>
      </w:r>
      <w:proofErr w:type="gramStart"/>
      <w:r w:rsidRPr="000F4A89">
        <w:rPr>
          <w:rFonts w:ascii="Times New Roman" w:hAnsi="Times New Roman"/>
          <w:sz w:val="24"/>
          <w:szCs w:val="24"/>
        </w:rPr>
        <w:t>a spend</w:t>
      </w:r>
      <w:proofErr w:type="gramEnd"/>
      <w:r w:rsidRPr="000F4A89">
        <w:rPr>
          <w:rFonts w:ascii="Times New Roman" w:hAnsi="Times New Roman"/>
          <w:sz w:val="24"/>
          <w:szCs w:val="24"/>
        </w:rPr>
        <w:t xml:space="preserve"> down and the state will pay the state share of their Medicaid expenses.</w:t>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 xml:space="preserve">At </w:t>
      </w:r>
      <w:proofErr w:type="gramStart"/>
      <w:r w:rsidRPr="000F4A89">
        <w:rPr>
          <w:rFonts w:ascii="Times New Roman" w:hAnsi="Times New Roman"/>
          <w:sz w:val="24"/>
          <w:szCs w:val="24"/>
        </w:rPr>
        <w:t>a 2012</w:t>
      </w:r>
      <w:proofErr w:type="gramEnd"/>
      <w:r w:rsidRPr="000F4A89">
        <w:rPr>
          <w:rFonts w:ascii="Times New Roman" w:hAnsi="Times New Roman"/>
          <w:sz w:val="24"/>
          <w:szCs w:val="24"/>
        </w:rPr>
        <w:t xml:space="preserve"> federal funds participation (FFP) rate of </w:t>
      </w:r>
      <w:r w:rsidR="002B30D0">
        <w:rPr>
          <w:rFonts w:ascii="Times New Roman" w:hAnsi="Times New Roman"/>
          <w:sz w:val="24"/>
          <w:szCs w:val="24"/>
        </w:rPr>
        <w:t>71.03%</w:t>
      </w:r>
      <w:r w:rsidRPr="000F4A89">
        <w:rPr>
          <w:rFonts w:ascii="Times New Roman" w:hAnsi="Times New Roman"/>
          <w:sz w:val="24"/>
          <w:szCs w:val="24"/>
        </w:rPr>
        <w:t>, the state is required to pay 28</w:t>
      </w:r>
      <w:r w:rsidR="002B30D0">
        <w:rPr>
          <w:rFonts w:ascii="Times New Roman" w:hAnsi="Times New Roman"/>
          <w:sz w:val="24"/>
          <w:szCs w:val="24"/>
        </w:rPr>
        <w:t>.</w:t>
      </w:r>
      <w:r w:rsidRPr="000F4A89">
        <w:rPr>
          <w:rFonts w:ascii="Times New Roman" w:hAnsi="Times New Roman"/>
          <w:sz w:val="24"/>
          <w:szCs w:val="24"/>
        </w:rPr>
        <w:t>97</w:t>
      </w:r>
      <w:r w:rsidR="002B30D0">
        <w:rPr>
          <w:rFonts w:ascii="Times New Roman" w:hAnsi="Times New Roman"/>
          <w:sz w:val="24"/>
          <w:szCs w:val="24"/>
        </w:rPr>
        <w:t>%</w:t>
      </w:r>
      <w:r w:rsidRPr="000F4A89">
        <w:rPr>
          <w:rFonts w:ascii="Times New Roman" w:hAnsi="Times New Roman"/>
          <w:sz w:val="24"/>
          <w:szCs w:val="24"/>
        </w:rPr>
        <w:t xml:space="preserve"> of the Medicaid expense or </w:t>
      </w:r>
      <w:r w:rsidRPr="000F4A89">
        <w:rPr>
          <w:rFonts w:ascii="Times New Roman" w:hAnsi="Times New Roman"/>
          <w:bCs/>
          <w:color w:val="000000"/>
          <w:sz w:val="24"/>
          <w:szCs w:val="24"/>
        </w:rPr>
        <w:t xml:space="preserve">$681,086, ($2,351,003*.2897). </w:t>
      </w:r>
      <w:r w:rsidRPr="000F4A89">
        <w:rPr>
          <w:rFonts w:ascii="Times New Roman" w:hAnsi="Times New Roman"/>
          <w:sz w:val="24"/>
          <w:szCs w:val="24"/>
        </w:rPr>
        <w:t>This is a new obligation that the state will have to fund.</w:t>
      </w:r>
    </w:p>
    <w:p w:rsidR="000F4A89" w:rsidRPr="000F4A89" w:rsidRDefault="000F4A89" w:rsidP="000F4A89">
      <w:pPr>
        <w:rPr>
          <w:rFonts w:ascii="Times New Roman" w:hAnsi="Times New Roman"/>
          <w:sz w:val="24"/>
          <w:szCs w:val="24"/>
        </w:rPr>
      </w:pPr>
      <w:r w:rsidRPr="000F4A89">
        <w:rPr>
          <w:rFonts w:ascii="Times New Roman" w:hAnsi="Times New Roman"/>
          <w:sz w:val="24"/>
          <w:szCs w:val="24"/>
        </w:rPr>
        <w:t xml:space="preserve">It is true that persons made newly eligible under the ACA will have 100% of their costs picked up by the Federal Medicaid program. </w:t>
      </w:r>
      <w:r w:rsidR="00F84640">
        <w:rPr>
          <w:rFonts w:ascii="Times New Roman" w:hAnsi="Times New Roman"/>
          <w:sz w:val="24"/>
          <w:szCs w:val="24"/>
        </w:rPr>
        <w:t>In the overall expansion analysis, PCG</w:t>
      </w:r>
      <w:r w:rsidRPr="000F4A89">
        <w:rPr>
          <w:rFonts w:ascii="Times New Roman" w:hAnsi="Times New Roman"/>
          <w:sz w:val="24"/>
          <w:szCs w:val="24"/>
        </w:rPr>
        <w:t xml:space="preserve"> assumes Medically Needy persons </w:t>
      </w:r>
      <w:r w:rsidR="00A14B57">
        <w:rPr>
          <w:rFonts w:ascii="Times New Roman" w:hAnsi="Times New Roman"/>
          <w:sz w:val="24"/>
          <w:szCs w:val="24"/>
        </w:rPr>
        <w:t>are covered</w:t>
      </w:r>
      <w:r w:rsidR="00F84640">
        <w:rPr>
          <w:rFonts w:ascii="Times New Roman" w:hAnsi="Times New Roman"/>
          <w:sz w:val="24"/>
          <w:szCs w:val="24"/>
        </w:rPr>
        <w:t xml:space="preserve"> under the optional expansion. This means they will receive the enhanced FMAP percentage.  </w:t>
      </w:r>
    </w:p>
    <w:p w:rsidR="00A14B57" w:rsidRDefault="002B30D0" w:rsidP="00BD47FD">
      <w:pPr>
        <w:rPr>
          <w:rFonts w:ascii="Times New Roman" w:hAnsi="Times New Roman"/>
          <w:b/>
          <w:color w:val="548DD4" w:themeColor="text2" w:themeTint="99"/>
          <w:sz w:val="28"/>
          <w:szCs w:val="24"/>
        </w:rPr>
      </w:pPr>
      <w:r>
        <w:rPr>
          <w:rFonts w:ascii="Times New Roman" w:hAnsi="Times New Roman"/>
          <w:sz w:val="24"/>
          <w:szCs w:val="24"/>
        </w:rPr>
        <w:t xml:space="preserve">The above section on Medically Needy was provided as a more in-depth analysis </w:t>
      </w:r>
      <w:r w:rsidR="00221926">
        <w:rPr>
          <w:rFonts w:ascii="Times New Roman" w:hAnsi="Times New Roman"/>
          <w:sz w:val="24"/>
          <w:szCs w:val="24"/>
        </w:rPr>
        <w:t xml:space="preserve">on a </w:t>
      </w:r>
      <w:r w:rsidR="00F84640">
        <w:rPr>
          <w:rFonts w:ascii="Times New Roman" w:hAnsi="Times New Roman"/>
          <w:sz w:val="24"/>
          <w:szCs w:val="24"/>
        </w:rPr>
        <w:t>granular programmatic level</w:t>
      </w:r>
      <w:r>
        <w:rPr>
          <w:rFonts w:ascii="Times New Roman" w:hAnsi="Times New Roman"/>
          <w:sz w:val="24"/>
          <w:szCs w:val="24"/>
        </w:rPr>
        <w:t xml:space="preserve">.  </w:t>
      </w:r>
      <w:r w:rsidR="00F84640">
        <w:rPr>
          <w:rFonts w:ascii="Times New Roman" w:hAnsi="Times New Roman"/>
          <w:sz w:val="24"/>
          <w:szCs w:val="24"/>
        </w:rPr>
        <w:t xml:space="preserve">Individuals enrolled in the Medically Needy program were included in our optional Medicaid expansion population in order to maintain consistency throughout the modeling </w:t>
      </w:r>
      <w:r w:rsidR="00B42D80">
        <w:rPr>
          <w:rFonts w:ascii="Times New Roman" w:hAnsi="Times New Roman"/>
          <w:sz w:val="24"/>
          <w:szCs w:val="24"/>
        </w:rPr>
        <w:t>process</w:t>
      </w:r>
      <w:r w:rsidR="00F84640">
        <w:rPr>
          <w:rFonts w:ascii="Times New Roman" w:hAnsi="Times New Roman"/>
          <w:sz w:val="24"/>
          <w:szCs w:val="24"/>
        </w:rPr>
        <w:t xml:space="preserve"> across populations.  </w:t>
      </w:r>
      <w:r w:rsidR="00B42D80">
        <w:rPr>
          <w:rFonts w:ascii="Times New Roman" w:hAnsi="Times New Roman"/>
          <w:sz w:val="24"/>
          <w:szCs w:val="24"/>
        </w:rPr>
        <w:t>In the overall model, these individuals have been grouped into the optional expansion and are modeled at receiving the enhanced FMAP across the two differing benefit packages.</w:t>
      </w:r>
      <w:r w:rsidR="00A14B57">
        <w:rPr>
          <w:rFonts w:ascii="Times New Roman" w:hAnsi="Times New Roman"/>
          <w:b/>
          <w:color w:val="548DD4" w:themeColor="text2" w:themeTint="99"/>
          <w:sz w:val="28"/>
          <w:szCs w:val="24"/>
        </w:rPr>
        <w:br w:type="page"/>
      </w:r>
    </w:p>
    <w:p w:rsidR="00C80065" w:rsidRDefault="00C80065" w:rsidP="00C80065">
      <w:pPr>
        <w:spacing w:after="240"/>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Estimated Revenues</w:t>
      </w:r>
    </w:p>
    <w:p w:rsidR="00B0441B" w:rsidRPr="00F1494F" w:rsidRDefault="00B0441B" w:rsidP="00B0441B">
      <w:pPr>
        <w:spacing w:after="240"/>
        <w:rPr>
          <w:rFonts w:ascii="Times New Roman" w:hAnsi="Times New Roman"/>
          <w:sz w:val="24"/>
          <w:szCs w:val="24"/>
        </w:rPr>
      </w:pPr>
      <w:r>
        <w:rPr>
          <w:rFonts w:ascii="Times New Roman" w:hAnsi="Times New Roman"/>
          <w:sz w:val="24"/>
          <w:szCs w:val="24"/>
        </w:rPr>
        <w:t>H</w:t>
      </w:r>
      <w:r w:rsidRPr="00F1494F">
        <w:rPr>
          <w:rFonts w:ascii="Times New Roman" w:hAnsi="Times New Roman"/>
          <w:sz w:val="24"/>
          <w:szCs w:val="24"/>
        </w:rPr>
        <w:t>ealth care</w:t>
      </w:r>
      <w:r>
        <w:rPr>
          <w:rFonts w:ascii="Times New Roman" w:hAnsi="Times New Roman"/>
          <w:sz w:val="24"/>
          <w:szCs w:val="24"/>
        </w:rPr>
        <w:t xml:space="preserve"> funds filter</w:t>
      </w:r>
      <w:r w:rsidRPr="00F1494F">
        <w:rPr>
          <w:rFonts w:ascii="Times New Roman" w:hAnsi="Times New Roman"/>
          <w:sz w:val="24"/>
          <w:szCs w:val="24"/>
        </w:rPr>
        <w:t xml:space="preserve"> throughout </w:t>
      </w:r>
      <w:r>
        <w:rPr>
          <w:rFonts w:ascii="Times New Roman" w:hAnsi="Times New Roman"/>
          <w:sz w:val="24"/>
          <w:szCs w:val="24"/>
        </w:rPr>
        <w:t>s</w:t>
      </w:r>
      <w:r w:rsidRPr="00F1494F">
        <w:rPr>
          <w:rFonts w:ascii="Times New Roman" w:hAnsi="Times New Roman"/>
          <w:sz w:val="24"/>
          <w:szCs w:val="24"/>
        </w:rPr>
        <w:t>tate and local communities</w:t>
      </w:r>
      <w:r>
        <w:rPr>
          <w:rFonts w:ascii="Times New Roman" w:hAnsi="Times New Roman"/>
          <w:sz w:val="24"/>
          <w:szCs w:val="24"/>
        </w:rPr>
        <w:t xml:space="preserve"> and will have </w:t>
      </w:r>
      <w:r w:rsidRPr="00F1494F">
        <w:rPr>
          <w:rFonts w:ascii="Times New Roman" w:hAnsi="Times New Roman"/>
          <w:sz w:val="24"/>
          <w:szCs w:val="24"/>
        </w:rPr>
        <w:t xml:space="preserve">short run direct and/or indirect impacts (2014 - 2019) on </w:t>
      </w:r>
      <w:r>
        <w:rPr>
          <w:rFonts w:ascii="Times New Roman" w:hAnsi="Times New Roman"/>
          <w:sz w:val="24"/>
          <w:szCs w:val="24"/>
        </w:rPr>
        <w:t>multiple areas, including:</w:t>
      </w:r>
    </w:p>
    <w:p w:rsidR="00B0441B" w:rsidRPr="004A36A2" w:rsidRDefault="00B0441B" w:rsidP="00B0441B">
      <w:pPr>
        <w:pStyle w:val="ListParagraph"/>
        <w:numPr>
          <w:ilvl w:val="0"/>
          <w:numId w:val="15"/>
        </w:numPr>
        <w:spacing w:after="240"/>
        <w:rPr>
          <w:rFonts w:ascii="Times New Roman" w:hAnsi="Times New Roman"/>
          <w:sz w:val="24"/>
          <w:szCs w:val="24"/>
        </w:rPr>
      </w:pPr>
      <w:r w:rsidRPr="004A36A2">
        <w:rPr>
          <w:rFonts w:ascii="Times New Roman" w:hAnsi="Times New Roman"/>
          <w:sz w:val="24"/>
          <w:szCs w:val="24"/>
        </w:rPr>
        <w:t>State and local government budgets</w:t>
      </w:r>
      <w:r>
        <w:rPr>
          <w:rFonts w:ascii="Times New Roman" w:hAnsi="Times New Roman"/>
          <w:sz w:val="24"/>
          <w:szCs w:val="24"/>
        </w:rPr>
        <w:t>,</w:t>
      </w:r>
      <w:r w:rsidRPr="004A36A2">
        <w:rPr>
          <w:rFonts w:ascii="Times New Roman" w:hAnsi="Times New Roman"/>
          <w:sz w:val="24"/>
          <w:szCs w:val="24"/>
        </w:rPr>
        <w:t xml:space="preserve"> </w:t>
      </w:r>
    </w:p>
    <w:p w:rsidR="00B0441B" w:rsidRPr="004A36A2" w:rsidRDefault="00B0441B" w:rsidP="00B0441B">
      <w:pPr>
        <w:pStyle w:val="ListParagraph"/>
        <w:numPr>
          <w:ilvl w:val="0"/>
          <w:numId w:val="15"/>
        </w:numPr>
        <w:spacing w:after="240"/>
        <w:rPr>
          <w:rFonts w:ascii="Times New Roman" w:hAnsi="Times New Roman"/>
          <w:sz w:val="24"/>
          <w:szCs w:val="24"/>
        </w:rPr>
      </w:pPr>
      <w:r w:rsidRPr="004A36A2">
        <w:rPr>
          <w:rFonts w:ascii="Times New Roman" w:hAnsi="Times New Roman"/>
          <w:sz w:val="24"/>
          <w:szCs w:val="24"/>
        </w:rPr>
        <w:t>The health care industry (hospitals, physicians, labs, and pharmacists etc. recognizing the two main impacts here are revenues and potential cost shifting)</w:t>
      </w:r>
      <w:r>
        <w:rPr>
          <w:rFonts w:ascii="Times New Roman" w:hAnsi="Times New Roman"/>
          <w:sz w:val="24"/>
          <w:szCs w:val="24"/>
        </w:rPr>
        <w:t>, and</w:t>
      </w:r>
      <w:r w:rsidRPr="004A36A2">
        <w:rPr>
          <w:rFonts w:ascii="Times New Roman" w:hAnsi="Times New Roman"/>
          <w:sz w:val="24"/>
          <w:szCs w:val="24"/>
        </w:rPr>
        <w:t xml:space="preserve"> </w:t>
      </w:r>
    </w:p>
    <w:p w:rsidR="00B0441B" w:rsidRPr="004A36A2" w:rsidRDefault="00B0441B" w:rsidP="00B0441B">
      <w:pPr>
        <w:pStyle w:val="ListParagraph"/>
        <w:numPr>
          <w:ilvl w:val="0"/>
          <w:numId w:val="15"/>
        </w:numPr>
        <w:spacing w:after="240"/>
        <w:rPr>
          <w:rFonts w:ascii="Times New Roman" w:hAnsi="Times New Roman"/>
          <w:sz w:val="24"/>
          <w:szCs w:val="24"/>
        </w:rPr>
      </w:pPr>
      <w:r w:rsidRPr="004A36A2">
        <w:rPr>
          <w:rFonts w:ascii="Times New Roman" w:hAnsi="Times New Roman"/>
          <w:sz w:val="24"/>
          <w:szCs w:val="24"/>
        </w:rPr>
        <w:t>The general economy, in particular the money multiplier impact of various rounds of spending, including any off-setting impacts relating to where the federal funding comes from (reduced Medicare spending, increased taxes, increased deficit, etc.)</w:t>
      </w:r>
      <w:r>
        <w:rPr>
          <w:rFonts w:ascii="Times New Roman" w:hAnsi="Times New Roman"/>
          <w:sz w:val="24"/>
          <w:szCs w:val="24"/>
        </w:rPr>
        <w:t>.</w:t>
      </w:r>
      <w:r w:rsidRPr="004A36A2">
        <w:rPr>
          <w:rFonts w:ascii="Times New Roman" w:hAnsi="Times New Roman"/>
          <w:sz w:val="24"/>
          <w:szCs w:val="24"/>
        </w:rPr>
        <w:t xml:space="preserve"> </w:t>
      </w:r>
    </w:p>
    <w:p w:rsidR="00B0441B" w:rsidRPr="004A36A2" w:rsidRDefault="00B0441B" w:rsidP="00B0441B">
      <w:pPr>
        <w:spacing w:after="240"/>
        <w:rPr>
          <w:rFonts w:ascii="Times New Roman" w:hAnsi="Times New Roman"/>
          <w:sz w:val="24"/>
          <w:szCs w:val="24"/>
        </w:rPr>
      </w:pPr>
      <w:r>
        <w:rPr>
          <w:rFonts w:ascii="Times New Roman" w:hAnsi="Times New Roman"/>
          <w:sz w:val="24"/>
          <w:szCs w:val="24"/>
        </w:rPr>
        <w:t xml:space="preserve">The goal of this section of the report is to analyze how increased funds being spent by the government will affect the general economy.  This includes </w:t>
      </w:r>
      <w:r w:rsidR="000A4E04">
        <w:rPr>
          <w:rFonts w:ascii="Times New Roman" w:hAnsi="Times New Roman"/>
          <w:sz w:val="24"/>
          <w:szCs w:val="24"/>
        </w:rPr>
        <w:t xml:space="preserve">net increased revenue </w:t>
      </w:r>
      <w:r>
        <w:rPr>
          <w:rFonts w:ascii="Times New Roman" w:hAnsi="Times New Roman"/>
          <w:sz w:val="24"/>
          <w:szCs w:val="24"/>
        </w:rPr>
        <w:t xml:space="preserve">from the federal government that will come to the state via increased federal financial participation </w:t>
      </w:r>
      <w:r w:rsidR="000A4E04">
        <w:rPr>
          <w:rFonts w:ascii="Times New Roman" w:hAnsi="Times New Roman"/>
          <w:sz w:val="24"/>
          <w:szCs w:val="24"/>
        </w:rPr>
        <w:t>while removing</w:t>
      </w:r>
      <w:r>
        <w:rPr>
          <w:rFonts w:ascii="Times New Roman" w:hAnsi="Times New Roman"/>
          <w:sz w:val="24"/>
          <w:szCs w:val="24"/>
        </w:rPr>
        <w:t xml:space="preserve"> the state’s share of Medicaid costs and increased </w:t>
      </w:r>
      <w:r w:rsidR="00171C8B">
        <w:rPr>
          <w:rFonts w:ascii="Times New Roman" w:hAnsi="Times New Roman"/>
          <w:sz w:val="24"/>
          <w:szCs w:val="24"/>
        </w:rPr>
        <w:t xml:space="preserve">state </w:t>
      </w:r>
      <w:r>
        <w:rPr>
          <w:rFonts w:ascii="Times New Roman" w:hAnsi="Times New Roman"/>
          <w:sz w:val="24"/>
          <w:szCs w:val="24"/>
        </w:rPr>
        <w:t>government administrative spending.</w:t>
      </w:r>
    </w:p>
    <w:p w:rsidR="00B0441B" w:rsidRPr="00F6202B" w:rsidRDefault="00B0441B" w:rsidP="00B0441B">
      <w:pPr>
        <w:rPr>
          <w:rFonts w:ascii="Times New Roman" w:hAnsi="Times New Roman"/>
          <w:b/>
          <w:sz w:val="24"/>
          <w:szCs w:val="24"/>
        </w:rPr>
      </w:pPr>
      <w:r w:rsidRPr="00F6202B">
        <w:rPr>
          <w:rFonts w:ascii="Times New Roman" w:hAnsi="Times New Roman"/>
          <w:b/>
          <w:sz w:val="24"/>
          <w:szCs w:val="24"/>
        </w:rPr>
        <w:t>Methodology and Assumptions</w:t>
      </w:r>
    </w:p>
    <w:p w:rsidR="00B0441B" w:rsidRPr="001C04A8" w:rsidRDefault="00B0441B" w:rsidP="00B0441B">
      <w:pPr>
        <w:rPr>
          <w:rFonts w:ascii="Times New Roman" w:hAnsi="Times New Roman"/>
          <w:sz w:val="24"/>
          <w:szCs w:val="24"/>
        </w:rPr>
      </w:pPr>
      <w:r>
        <w:rPr>
          <w:rFonts w:ascii="Times New Roman" w:hAnsi="Times New Roman"/>
          <w:sz w:val="24"/>
          <w:szCs w:val="24"/>
        </w:rPr>
        <w:t>This section estimates the potential economic impacts of Medicaid expansion in the state of Utah across five varying scenarios of expansion.  This analysis was performed using the IMPLAN 3.0 model.  IMPLAN is an input-output model that is used to examine the impact of changes that occur in an economy given modeled events.  In this case, the modeled event is the increased revenue to the state of Utah projected across five different expansion scenarios for which balance sheets were presented earlier in this report.  Those five scenarios are:</w:t>
      </w:r>
    </w:p>
    <w:p w:rsidR="006A2243" w:rsidRDefault="006A2243" w:rsidP="00B0441B">
      <w:pPr>
        <w:pStyle w:val="ListParagraph"/>
        <w:numPr>
          <w:ilvl w:val="0"/>
          <w:numId w:val="29"/>
        </w:numPr>
        <w:rPr>
          <w:rFonts w:ascii="Times New Roman" w:hAnsi="Times New Roman"/>
          <w:sz w:val="24"/>
          <w:szCs w:val="24"/>
        </w:rPr>
      </w:pPr>
      <w:r w:rsidRPr="004A294A">
        <w:rPr>
          <w:rFonts w:ascii="Times New Roman" w:hAnsi="Times New Roman"/>
          <w:sz w:val="24"/>
          <w:szCs w:val="24"/>
        </w:rPr>
        <w:t>No Optional Expansion</w:t>
      </w:r>
      <w:r>
        <w:rPr>
          <w:rFonts w:ascii="Times New Roman" w:hAnsi="Times New Roman"/>
          <w:sz w:val="24"/>
          <w:szCs w:val="24"/>
        </w:rPr>
        <w:t>, modeled</w:t>
      </w:r>
      <w:r w:rsidRPr="004A294A">
        <w:rPr>
          <w:rFonts w:ascii="Times New Roman" w:hAnsi="Times New Roman"/>
          <w:sz w:val="24"/>
          <w:szCs w:val="24"/>
        </w:rPr>
        <w:t xml:space="preserve"> Mandatory Changes</w:t>
      </w:r>
      <w:r>
        <w:rPr>
          <w:rFonts w:ascii="Times New Roman" w:hAnsi="Times New Roman"/>
          <w:sz w:val="24"/>
          <w:szCs w:val="24"/>
        </w:rPr>
        <w:t xml:space="preserve"> and Trended Medicaid Enrollment</w:t>
      </w:r>
    </w:p>
    <w:p w:rsidR="00B0441B" w:rsidRPr="001C04A8" w:rsidRDefault="00B0441B" w:rsidP="00B0441B">
      <w:pPr>
        <w:pStyle w:val="ListParagraph"/>
        <w:numPr>
          <w:ilvl w:val="0"/>
          <w:numId w:val="29"/>
        </w:numPr>
        <w:rPr>
          <w:rFonts w:ascii="Times New Roman" w:hAnsi="Times New Roman"/>
          <w:sz w:val="24"/>
          <w:szCs w:val="24"/>
        </w:rPr>
      </w:pPr>
      <w:r w:rsidRPr="001C04A8">
        <w:rPr>
          <w:rFonts w:ascii="Times New Roman" w:hAnsi="Times New Roman"/>
          <w:sz w:val="24"/>
          <w:szCs w:val="24"/>
        </w:rPr>
        <w:t>Optional Expansion of Medicaid to 138% FPL with Traditional Medicaid Benefits,</w:t>
      </w:r>
    </w:p>
    <w:p w:rsidR="00B0441B" w:rsidRPr="004A294A" w:rsidRDefault="00B0441B" w:rsidP="00B0441B">
      <w:pPr>
        <w:pStyle w:val="ListParagraph"/>
        <w:numPr>
          <w:ilvl w:val="0"/>
          <w:numId w:val="29"/>
        </w:numPr>
        <w:rPr>
          <w:rFonts w:ascii="Times New Roman" w:hAnsi="Times New Roman"/>
          <w:sz w:val="24"/>
          <w:szCs w:val="24"/>
        </w:rPr>
      </w:pPr>
      <w:r w:rsidRPr="004A294A">
        <w:rPr>
          <w:rFonts w:ascii="Times New Roman" w:hAnsi="Times New Roman"/>
          <w:sz w:val="24"/>
          <w:szCs w:val="24"/>
        </w:rPr>
        <w:t>Optional Expansion</w:t>
      </w:r>
      <w:r>
        <w:rPr>
          <w:rFonts w:ascii="Times New Roman" w:hAnsi="Times New Roman"/>
          <w:sz w:val="24"/>
          <w:szCs w:val="24"/>
        </w:rPr>
        <w:t xml:space="preserve"> of Medicaid</w:t>
      </w:r>
      <w:r w:rsidRPr="004A294A">
        <w:rPr>
          <w:rFonts w:ascii="Times New Roman" w:hAnsi="Times New Roman"/>
          <w:sz w:val="24"/>
          <w:szCs w:val="24"/>
        </w:rPr>
        <w:t xml:space="preserve"> to 138%</w:t>
      </w:r>
      <w:r>
        <w:rPr>
          <w:rFonts w:ascii="Times New Roman" w:hAnsi="Times New Roman"/>
          <w:sz w:val="24"/>
          <w:szCs w:val="24"/>
        </w:rPr>
        <w:t xml:space="preserve"> FPL with modeled</w:t>
      </w:r>
      <w:r w:rsidRPr="004A294A">
        <w:rPr>
          <w:rFonts w:ascii="Times New Roman" w:hAnsi="Times New Roman"/>
          <w:sz w:val="24"/>
          <w:szCs w:val="24"/>
        </w:rPr>
        <w:t xml:space="preserve"> Essential Health Benefits</w:t>
      </w:r>
      <w:r>
        <w:rPr>
          <w:rFonts w:ascii="Times New Roman" w:hAnsi="Times New Roman"/>
          <w:sz w:val="24"/>
          <w:szCs w:val="24"/>
        </w:rPr>
        <w:t>,</w:t>
      </w:r>
    </w:p>
    <w:p w:rsidR="00B0441B" w:rsidRPr="004A294A" w:rsidRDefault="00B0441B" w:rsidP="00B0441B">
      <w:pPr>
        <w:pStyle w:val="ListParagraph"/>
        <w:numPr>
          <w:ilvl w:val="0"/>
          <w:numId w:val="29"/>
        </w:numPr>
        <w:rPr>
          <w:rFonts w:ascii="Times New Roman" w:hAnsi="Times New Roman"/>
          <w:sz w:val="24"/>
          <w:szCs w:val="24"/>
        </w:rPr>
      </w:pPr>
      <w:r w:rsidRPr="004A294A">
        <w:rPr>
          <w:rFonts w:ascii="Times New Roman" w:hAnsi="Times New Roman"/>
          <w:sz w:val="24"/>
          <w:szCs w:val="24"/>
        </w:rPr>
        <w:t>Optional Expansion to 100%</w:t>
      </w:r>
      <w:r>
        <w:rPr>
          <w:rFonts w:ascii="Times New Roman" w:hAnsi="Times New Roman"/>
          <w:sz w:val="24"/>
          <w:szCs w:val="24"/>
        </w:rPr>
        <w:t xml:space="preserve"> FPL with</w:t>
      </w:r>
      <w:r w:rsidRPr="004A294A">
        <w:rPr>
          <w:rFonts w:ascii="Times New Roman" w:hAnsi="Times New Roman"/>
          <w:sz w:val="24"/>
          <w:szCs w:val="24"/>
        </w:rPr>
        <w:t xml:space="preserve"> Traditional Medicaid Benefits</w:t>
      </w:r>
      <w:r>
        <w:rPr>
          <w:rFonts w:ascii="Times New Roman" w:hAnsi="Times New Roman"/>
          <w:sz w:val="24"/>
          <w:szCs w:val="24"/>
        </w:rPr>
        <w:t>,</w:t>
      </w:r>
      <w:r w:rsidR="006A2243">
        <w:rPr>
          <w:rFonts w:ascii="Times New Roman" w:hAnsi="Times New Roman"/>
          <w:sz w:val="24"/>
          <w:szCs w:val="24"/>
        </w:rPr>
        <w:t xml:space="preserve"> and</w:t>
      </w:r>
    </w:p>
    <w:p w:rsidR="00B0441B" w:rsidRPr="004A294A" w:rsidRDefault="00B0441B" w:rsidP="00B0441B">
      <w:pPr>
        <w:pStyle w:val="ListParagraph"/>
        <w:numPr>
          <w:ilvl w:val="0"/>
          <w:numId w:val="29"/>
        </w:numPr>
        <w:rPr>
          <w:rFonts w:ascii="Times New Roman" w:hAnsi="Times New Roman"/>
          <w:sz w:val="24"/>
          <w:szCs w:val="24"/>
        </w:rPr>
      </w:pPr>
      <w:r w:rsidRPr="004A294A">
        <w:rPr>
          <w:rFonts w:ascii="Times New Roman" w:hAnsi="Times New Roman"/>
          <w:sz w:val="24"/>
          <w:szCs w:val="24"/>
        </w:rPr>
        <w:t>Optional Expansion to 100%</w:t>
      </w:r>
      <w:r>
        <w:rPr>
          <w:rFonts w:ascii="Times New Roman" w:hAnsi="Times New Roman"/>
          <w:sz w:val="24"/>
          <w:szCs w:val="24"/>
        </w:rPr>
        <w:t xml:space="preserve"> FPL with modeled </w:t>
      </w:r>
      <w:r w:rsidRPr="004A294A">
        <w:rPr>
          <w:rFonts w:ascii="Times New Roman" w:hAnsi="Times New Roman"/>
          <w:sz w:val="24"/>
          <w:szCs w:val="24"/>
        </w:rPr>
        <w:t>Essential Health Benefits</w:t>
      </w:r>
      <w:r w:rsidR="006A2243">
        <w:rPr>
          <w:rFonts w:ascii="Times New Roman" w:hAnsi="Times New Roman"/>
          <w:sz w:val="24"/>
          <w:szCs w:val="24"/>
        </w:rPr>
        <w:t xml:space="preserve">. </w:t>
      </w:r>
    </w:p>
    <w:p w:rsidR="00B0441B" w:rsidRDefault="00B0441B" w:rsidP="00B0441B">
      <w:pPr>
        <w:rPr>
          <w:rFonts w:ascii="Times New Roman" w:hAnsi="Times New Roman"/>
          <w:sz w:val="24"/>
          <w:szCs w:val="24"/>
        </w:rPr>
      </w:pPr>
      <w:r>
        <w:rPr>
          <w:rFonts w:ascii="Times New Roman" w:hAnsi="Times New Roman"/>
          <w:sz w:val="24"/>
          <w:szCs w:val="24"/>
        </w:rPr>
        <w:t>The IMPLAN model was utilized to analyze how each option would potentially affect the state’s economy.  This section of the report follows the same key assumptions as previously stated, and additionally contains several unique assumptions.  Key assumptions that remain constant for economic modeling as were made previously in the report include:</w:t>
      </w:r>
    </w:p>
    <w:p w:rsidR="00B0441B" w:rsidRDefault="00B0441B" w:rsidP="00B0441B">
      <w:pPr>
        <w:pStyle w:val="ListParagraph"/>
        <w:numPr>
          <w:ilvl w:val="0"/>
          <w:numId w:val="25"/>
        </w:numPr>
        <w:rPr>
          <w:rFonts w:ascii="Times New Roman" w:hAnsi="Times New Roman"/>
          <w:sz w:val="24"/>
          <w:szCs w:val="24"/>
        </w:rPr>
      </w:pPr>
      <w:r>
        <w:rPr>
          <w:rFonts w:ascii="Times New Roman" w:hAnsi="Times New Roman"/>
          <w:sz w:val="24"/>
          <w:szCs w:val="24"/>
        </w:rPr>
        <w:t>Medicaid caseload assumptions remain constant,</w:t>
      </w:r>
    </w:p>
    <w:p w:rsidR="00B0441B" w:rsidRDefault="00B0441B" w:rsidP="00B0441B">
      <w:pPr>
        <w:pStyle w:val="ListParagraph"/>
        <w:numPr>
          <w:ilvl w:val="0"/>
          <w:numId w:val="25"/>
        </w:numPr>
        <w:rPr>
          <w:rFonts w:ascii="Times New Roman" w:hAnsi="Times New Roman"/>
          <w:sz w:val="24"/>
          <w:szCs w:val="24"/>
        </w:rPr>
      </w:pPr>
      <w:r>
        <w:rPr>
          <w:rFonts w:ascii="Times New Roman" w:hAnsi="Times New Roman"/>
          <w:sz w:val="24"/>
          <w:szCs w:val="24"/>
        </w:rPr>
        <w:lastRenderedPageBreak/>
        <w:t>Assumptions related to cost of the Medicaid benefit and Essential Health Benefit package remain constant,</w:t>
      </w:r>
    </w:p>
    <w:p w:rsidR="00B0441B" w:rsidRDefault="00B0441B" w:rsidP="00B0441B">
      <w:pPr>
        <w:pStyle w:val="ListParagraph"/>
        <w:numPr>
          <w:ilvl w:val="0"/>
          <w:numId w:val="25"/>
        </w:numPr>
        <w:rPr>
          <w:rFonts w:ascii="Times New Roman" w:hAnsi="Times New Roman"/>
          <w:sz w:val="24"/>
          <w:szCs w:val="24"/>
        </w:rPr>
      </w:pPr>
      <w:r>
        <w:rPr>
          <w:rFonts w:ascii="Times New Roman" w:hAnsi="Times New Roman"/>
          <w:sz w:val="24"/>
          <w:szCs w:val="24"/>
        </w:rPr>
        <w:t>Federal and state financial participation for each option remain constant, and</w:t>
      </w:r>
    </w:p>
    <w:p w:rsidR="00B0441B" w:rsidRDefault="00B0441B" w:rsidP="00B0441B">
      <w:pPr>
        <w:pStyle w:val="ListParagraph"/>
        <w:numPr>
          <w:ilvl w:val="0"/>
          <w:numId w:val="25"/>
        </w:numPr>
        <w:rPr>
          <w:rFonts w:ascii="Times New Roman" w:hAnsi="Times New Roman"/>
          <w:sz w:val="24"/>
          <w:szCs w:val="24"/>
        </w:rPr>
      </w:pPr>
      <w:r>
        <w:rPr>
          <w:rFonts w:ascii="Times New Roman" w:hAnsi="Times New Roman"/>
          <w:sz w:val="24"/>
          <w:szCs w:val="24"/>
        </w:rPr>
        <w:t>The same average of the high and low estimates from the balance sheets is utilized.</w:t>
      </w:r>
    </w:p>
    <w:p w:rsidR="00B0441B" w:rsidRDefault="00B0441B" w:rsidP="00B0441B">
      <w:pPr>
        <w:rPr>
          <w:rFonts w:ascii="Times New Roman" w:hAnsi="Times New Roman"/>
          <w:sz w:val="24"/>
          <w:szCs w:val="24"/>
        </w:rPr>
      </w:pPr>
      <w:r>
        <w:rPr>
          <w:rFonts w:ascii="Times New Roman" w:hAnsi="Times New Roman"/>
          <w:sz w:val="24"/>
          <w:szCs w:val="24"/>
        </w:rPr>
        <w:t xml:space="preserve">Using the IMPLAN model requires several new assumptions that are unique to this section of the report.  In order to remove the variability that comes from the projected cost savings of Medicaid expansion and focus on increased incoming revenue, the following financial figures were included and loaded into the IMPLAN model: projected </w:t>
      </w:r>
      <w:r w:rsidR="000941AB">
        <w:rPr>
          <w:rFonts w:ascii="Times New Roman" w:hAnsi="Times New Roman"/>
          <w:sz w:val="24"/>
          <w:szCs w:val="24"/>
        </w:rPr>
        <w:t>FMAP on Est. Services Costs</w:t>
      </w:r>
      <w:r w:rsidR="00171C8B">
        <w:rPr>
          <w:rFonts w:ascii="Times New Roman" w:hAnsi="Times New Roman"/>
          <w:sz w:val="24"/>
          <w:szCs w:val="24"/>
        </w:rPr>
        <w:t xml:space="preserve"> and</w:t>
      </w:r>
      <w:r>
        <w:rPr>
          <w:rFonts w:ascii="Times New Roman" w:hAnsi="Times New Roman"/>
          <w:sz w:val="24"/>
          <w:szCs w:val="24"/>
        </w:rPr>
        <w:t xml:space="preserve"> increased </w:t>
      </w:r>
      <w:r w:rsidR="000941AB">
        <w:rPr>
          <w:rFonts w:ascii="Times New Roman" w:hAnsi="Times New Roman"/>
          <w:sz w:val="24"/>
          <w:szCs w:val="24"/>
        </w:rPr>
        <w:t xml:space="preserve">FFP on Est. </w:t>
      </w:r>
      <w:r>
        <w:rPr>
          <w:rFonts w:ascii="Times New Roman" w:hAnsi="Times New Roman"/>
          <w:sz w:val="24"/>
          <w:szCs w:val="24"/>
        </w:rPr>
        <w:t xml:space="preserve">administrative </w:t>
      </w:r>
      <w:r w:rsidR="00CA697E">
        <w:rPr>
          <w:rFonts w:ascii="Times New Roman" w:hAnsi="Times New Roman"/>
          <w:sz w:val="24"/>
          <w:szCs w:val="24"/>
        </w:rPr>
        <w:t>costs while</w:t>
      </w:r>
      <w:r w:rsidR="000941AB">
        <w:rPr>
          <w:rFonts w:ascii="Times New Roman" w:hAnsi="Times New Roman"/>
          <w:sz w:val="24"/>
          <w:szCs w:val="24"/>
        </w:rPr>
        <w:t xml:space="preserve"> removing any increased state costs, both administrative and public assistance savings </w:t>
      </w:r>
      <w:r>
        <w:rPr>
          <w:rFonts w:ascii="Times New Roman" w:hAnsi="Times New Roman"/>
          <w:sz w:val="24"/>
          <w:szCs w:val="24"/>
        </w:rPr>
        <w:t xml:space="preserve">(called “modeled Medicaid spending” in the remainder of this report).  </w:t>
      </w:r>
    </w:p>
    <w:p w:rsidR="00B0441B" w:rsidRDefault="00B0441B" w:rsidP="00B0441B">
      <w:pPr>
        <w:rPr>
          <w:rFonts w:ascii="Times New Roman" w:hAnsi="Times New Roman"/>
          <w:sz w:val="24"/>
          <w:szCs w:val="24"/>
        </w:rPr>
      </w:pPr>
      <w:r>
        <w:rPr>
          <w:rFonts w:ascii="Times New Roman" w:hAnsi="Times New Roman"/>
          <w:sz w:val="24"/>
          <w:szCs w:val="24"/>
        </w:rPr>
        <w:t>The total financial figure in each scenario had to be allocated (these allocations are demonstrated later in this report) to differing sectors on the economy.  The sectors of the Utah economy into which the increased health care spending must be allocated are:</w:t>
      </w:r>
    </w:p>
    <w:p w:rsidR="00B0441B" w:rsidRDefault="00B0441B" w:rsidP="00B0441B">
      <w:pPr>
        <w:pStyle w:val="ListParagraph"/>
        <w:numPr>
          <w:ilvl w:val="0"/>
          <w:numId w:val="26"/>
        </w:numPr>
        <w:rPr>
          <w:rFonts w:ascii="Times New Roman" w:hAnsi="Times New Roman"/>
          <w:sz w:val="24"/>
          <w:szCs w:val="24"/>
        </w:rPr>
      </w:pPr>
      <w:r>
        <w:rPr>
          <w:rFonts w:ascii="Times New Roman" w:hAnsi="Times New Roman"/>
          <w:sz w:val="24"/>
          <w:szCs w:val="24"/>
        </w:rPr>
        <w:t>Administrative expenses,</w:t>
      </w:r>
    </w:p>
    <w:p w:rsidR="00B0441B" w:rsidRDefault="00B0441B" w:rsidP="00B0441B">
      <w:pPr>
        <w:pStyle w:val="ListParagraph"/>
        <w:numPr>
          <w:ilvl w:val="0"/>
          <w:numId w:val="26"/>
        </w:numPr>
        <w:rPr>
          <w:rFonts w:ascii="Times New Roman" w:hAnsi="Times New Roman"/>
          <w:sz w:val="24"/>
          <w:szCs w:val="24"/>
        </w:rPr>
      </w:pPr>
      <w:r w:rsidRPr="00CE6601">
        <w:rPr>
          <w:rFonts w:ascii="Times New Roman" w:hAnsi="Times New Roman"/>
          <w:sz w:val="24"/>
          <w:szCs w:val="24"/>
        </w:rPr>
        <w:t>Offices of physicians, dentists, and other health practitioners</w:t>
      </w:r>
      <w:r>
        <w:rPr>
          <w:rFonts w:ascii="Times New Roman" w:hAnsi="Times New Roman"/>
          <w:sz w:val="24"/>
          <w:szCs w:val="24"/>
        </w:rPr>
        <w:t>,</w:t>
      </w:r>
    </w:p>
    <w:p w:rsidR="00B0441B" w:rsidRDefault="00B0441B" w:rsidP="00B0441B">
      <w:pPr>
        <w:pStyle w:val="ListParagraph"/>
        <w:numPr>
          <w:ilvl w:val="0"/>
          <w:numId w:val="26"/>
        </w:numPr>
        <w:rPr>
          <w:rFonts w:ascii="Times New Roman" w:hAnsi="Times New Roman"/>
          <w:sz w:val="24"/>
          <w:szCs w:val="24"/>
        </w:rPr>
      </w:pPr>
      <w:r>
        <w:rPr>
          <w:rFonts w:ascii="Times New Roman" w:hAnsi="Times New Roman"/>
          <w:sz w:val="24"/>
          <w:szCs w:val="24"/>
        </w:rPr>
        <w:t>H</w:t>
      </w:r>
      <w:r w:rsidRPr="00CE6601">
        <w:rPr>
          <w:rFonts w:ascii="Times New Roman" w:hAnsi="Times New Roman"/>
          <w:sz w:val="24"/>
          <w:szCs w:val="24"/>
        </w:rPr>
        <w:t>ome health services</w:t>
      </w:r>
      <w:r>
        <w:rPr>
          <w:rFonts w:ascii="Times New Roman" w:hAnsi="Times New Roman"/>
          <w:sz w:val="24"/>
          <w:szCs w:val="24"/>
        </w:rPr>
        <w:t>,</w:t>
      </w:r>
    </w:p>
    <w:p w:rsidR="00B0441B" w:rsidRDefault="00B0441B" w:rsidP="00B0441B">
      <w:pPr>
        <w:pStyle w:val="ListParagraph"/>
        <w:numPr>
          <w:ilvl w:val="0"/>
          <w:numId w:val="26"/>
        </w:numPr>
        <w:rPr>
          <w:rFonts w:ascii="Times New Roman" w:hAnsi="Times New Roman"/>
          <w:sz w:val="24"/>
          <w:szCs w:val="24"/>
        </w:rPr>
      </w:pPr>
      <w:r w:rsidRPr="00CE6601">
        <w:rPr>
          <w:rFonts w:ascii="Times New Roman" w:hAnsi="Times New Roman"/>
          <w:sz w:val="24"/>
          <w:szCs w:val="24"/>
        </w:rPr>
        <w:t>Medical and diagnostic labs and other outpatient ambulatory services</w:t>
      </w:r>
      <w:r>
        <w:rPr>
          <w:rFonts w:ascii="Times New Roman" w:hAnsi="Times New Roman"/>
          <w:sz w:val="24"/>
          <w:szCs w:val="24"/>
        </w:rPr>
        <w:t>,</w:t>
      </w:r>
    </w:p>
    <w:p w:rsidR="00B0441B" w:rsidRDefault="00B0441B" w:rsidP="00B0441B">
      <w:pPr>
        <w:pStyle w:val="ListParagraph"/>
        <w:numPr>
          <w:ilvl w:val="0"/>
          <w:numId w:val="26"/>
        </w:numPr>
        <w:rPr>
          <w:rFonts w:ascii="Times New Roman" w:hAnsi="Times New Roman"/>
          <w:sz w:val="24"/>
          <w:szCs w:val="24"/>
        </w:rPr>
      </w:pPr>
      <w:r>
        <w:rPr>
          <w:rFonts w:ascii="Times New Roman" w:hAnsi="Times New Roman"/>
          <w:sz w:val="24"/>
          <w:szCs w:val="24"/>
        </w:rPr>
        <w:t>P</w:t>
      </w:r>
      <w:r w:rsidRPr="00CE6601">
        <w:rPr>
          <w:rFonts w:ascii="Times New Roman" w:hAnsi="Times New Roman"/>
          <w:sz w:val="24"/>
          <w:szCs w:val="24"/>
        </w:rPr>
        <w:t>rivate hospitals</w:t>
      </w:r>
      <w:r>
        <w:rPr>
          <w:rFonts w:ascii="Times New Roman" w:hAnsi="Times New Roman"/>
          <w:sz w:val="24"/>
          <w:szCs w:val="24"/>
        </w:rPr>
        <w:t>, and</w:t>
      </w:r>
    </w:p>
    <w:p w:rsidR="00B0441B" w:rsidRDefault="00B0441B" w:rsidP="00B0441B">
      <w:pPr>
        <w:pStyle w:val="ListParagraph"/>
        <w:numPr>
          <w:ilvl w:val="0"/>
          <w:numId w:val="26"/>
        </w:numPr>
        <w:rPr>
          <w:rFonts w:ascii="Times New Roman" w:hAnsi="Times New Roman"/>
          <w:sz w:val="24"/>
          <w:szCs w:val="24"/>
        </w:rPr>
      </w:pPr>
      <w:r>
        <w:rPr>
          <w:rFonts w:ascii="Times New Roman" w:hAnsi="Times New Roman"/>
          <w:sz w:val="24"/>
          <w:szCs w:val="24"/>
        </w:rPr>
        <w:t>N</w:t>
      </w:r>
      <w:r w:rsidRPr="00CE6601">
        <w:rPr>
          <w:rFonts w:ascii="Times New Roman" w:hAnsi="Times New Roman"/>
          <w:sz w:val="24"/>
          <w:szCs w:val="24"/>
        </w:rPr>
        <w:t>ursing and residential care facilities</w:t>
      </w:r>
      <w:r>
        <w:rPr>
          <w:rFonts w:ascii="Times New Roman" w:hAnsi="Times New Roman"/>
          <w:sz w:val="24"/>
          <w:szCs w:val="24"/>
        </w:rPr>
        <w:t>.</w:t>
      </w:r>
    </w:p>
    <w:p w:rsidR="00B0441B" w:rsidRDefault="00B0441B" w:rsidP="00B0441B">
      <w:pPr>
        <w:spacing w:after="0" w:line="240" w:lineRule="auto"/>
        <w:rPr>
          <w:rFonts w:ascii="Times New Roman" w:hAnsi="Times New Roman"/>
          <w:sz w:val="24"/>
          <w:szCs w:val="24"/>
        </w:rPr>
      </w:pPr>
      <w:r>
        <w:rPr>
          <w:rFonts w:ascii="Times New Roman" w:hAnsi="Times New Roman"/>
          <w:sz w:val="24"/>
          <w:szCs w:val="24"/>
        </w:rPr>
        <w:br w:type="page"/>
      </w:r>
    </w:p>
    <w:p w:rsidR="00B0441B" w:rsidRDefault="00B0441B" w:rsidP="00B0441B">
      <w:pPr>
        <w:pStyle w:val="ListParagraph"/>
        <w:ind w:left="0"/>
        <w:rPr>
          <w:rFonts w:ascii="Times New Roman" w:hAnsi="Times New Roman"/>
          <w:sz w:val="24"/>
          <w:szCs w:val="24"/>
        </w:rPr>
      </w:pPr>
      <w:r>
        <w:rPr>
          <w:rFonts w:ascii="Times New Roman" w:hAnsi="Times New Roman"/>
          <w:sz w:val="24"/>
          <w:szCs w:val="24"/>
        </w:rPr>
        <w:lastRenderedPageBreak/>
        <w:t>The total estimated modeled Medicaid spending was placed into these categories on a percentage basis using data from the 2011 annual Utah Medicaid report. Only applicable categories of current Medicaid spending were included in the allocation total.  They are as follows:</w:t>
      </w:r>
    </w:p>
    <w:p w:rsidR="00B0441B" w:rsidRDefault="00B0441B" w:rsidP="00B0441B">
      <w:pPr>
        <w:pStyle w:val="ListParagraph"/>
        <w:ind w:left="0"/>
        <w:rPr>
          <w:rFonts w:ascii="Times New Roman" w:hAnsi="Times New Roman"/>
          <w:sz w:val="24"/>
          <w:szCs w:val="24"/>
        </w:rPr>
      </w:pPr>
    </w:p>
    <w:tbl>
      <w:tblPr>
        <w:tblW w:w="8880" w:type="dxa"/>
        <w:tblInd w:w="93" w:type="dxa"/>
        <w:tblLook w:val="04A0"/>
      </w:tblPr>
      <w:tblGrid>
        <w:gridCol w:w="4460"/>
        <w:gridCol w:w="2496"/>
        <w:gridCol w:w="1924"/>
      </w:tblGrid>
      <w:tr w:rsidR="00B10292" w:rsidRPr="00B10292" w:rsidTr="00B10292">
        <w:trPr>
          <w:trHeight w:val="315"/>
        </w:trPr>
        <w:tc>
          <w:tcPr>
            <w:tcW w:w="8880" w:type="dxa"/>
            <w:gridSpan w:val="3"/>
            <w:tcBorders>
              <w:top w:val="single" w:sz="8" w:space="0" w:color="auto"/>
              <w:left w:val="single" w:sz="4" w:space="0" w:color="auto"/>
              <w:bottom w:val="nil"/>
              <w:right w:val="single" w:sz="8" w:space="0" w:color="000000"/>
            </w:tcBorders>
            <w:shd w:val="clear" w:color="000000" w:fill="376091"/>
            <w:noWrap/>
            <w:vAlign w:val="bottom"/>
            <w:hideMark/>
          </w:tcPr>
          <w:p w:rsidR="00B10292" w:rsidRPr="00B10292" w:rsidRDefault="00B10292" w:rsidP="00B10292">
            <w:pPr>
              <w:spacing w:after="0" w:line="240" w:lineRule="auto"/>
              <w:jc w:val="center"/>
              <w:rPr>
                <w:rFonts w:ascii="Times New Roman" w:hAnsi="Times New Roman"/>
                <w:b/>
                <w:bCs/>
                <w:color w:val="FFFFFF"/>
                <w:lang w:eastAsia="en-US"/>
              </w:rPr>
            </w:pPr>
            <w:r w:rsidRPr="00B10292">
              <w:rPr>
                <w:rFonts w:ascii="Times New Roman" w:hAnsi="Times New Roman"/>
                <w:b/>
                <w:bCs/>
                <w:color w:val="FFFFFF"/>
                <w:lang w:eastAsia="en-US"/>
              </w:rPr>
              <w:t>2011 Utah Medicaid Spending</w:t>
            </w:r>
          </w:p>
        </w:tc>
      </w:tr>
      <w:tr w:rsidR="00B10292" w:rsidRPr="00B10292" w:rsidTr="00B10292">
        <w:trPr>
          <w:trHeight w:val="300"/>
        </w:trPr>
        <w:tc>
          <w:tcPr>
            <w:tcW w:w="4460" w:type="dxa"/>
            <w:tcBorders>
              <w:top w:val="single" w:sz="8" w:space="0" w:color="auto"/>
              <w:left w:val="single" w:sz="8" w:space="0" w:color="auto"/>
              <w:bottom w:val="single" w:sz="4" w:space="0" w:color="auto"/>
              <w:right w:val="single" w:sz="8" w:space="0" w:color="auto"/>
            </w:tcBorders>
            <w:shd w:val="clear" w:color="000000" w:fill="8DB4E3"/>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Sector</w:t>
            </w:r>
          </w:p>
        </w:tc>
        <w:tc>
          <w:tcPr>
            <w:tcW w:w="2496" w:type="dxa"/>
            <w:tcBorders>
              <w:top w:val="single" w:sz="8" w:space="0" w:color="auto"/>
              <w:left w:val="nil"/>
              <w:bottom w:val="single" w:sz="4" w:space="0" w:color="auto"/>
              <w:right w:val="single" w:sz="8" w:space="0" w:color="auto"/>
            </w:tcBorders>
            <w:shd w:val="clear" w:color="000000" w:fill="8DB4E3"/>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Total Spend</w:t>
            </w:r>
          </w:p>
        </w:tc>
        <w:tc>
          <w:tcPr>
            <w:tcW w:w="1924" w:type="dxa"/>
            <w:tcBorders>
              <w:top w:val="single" w:sz="4" w:space="0" w:color="auto"/>
              <w:left w:val="nil"/>
              <w:bottom w:val="single" w:sz="4" w:space="0" w:color="auto"/>
              <w:right w:val="single" w:sz="8" w:space="0" w:color="auto"/>
            </w:tcBorders>
            <w:shd w:val="clear" w:color="000000" w:fill="8DB4E3"/>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Percent Spend</w:t>
            </w:r>
          </w:p>
        </w:tc>
      </w:tr>
      <w:tr w:rsidR="00B10292" w:rsidRPr="00B10292" w:rsidTr="00B10292">
        <w:trPr>
          <w:trHeight w:val="300"/>
        </w:trPr>
        <w:tc>
          <w:tcPr>
            <w:tcW w:w="4460" w:type="dxa"/>
            <w:tcBorders>
              <w:top w:val="nil"/>
              <w:left w:val="single" w:sz="8" w:space="0" w:color="auto"/>
              <w:bottom w:val="single" w:sz="4"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Inpatient Hospital</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$319,920,600.00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21.60%</w:t>
            </w:r>
          </w:p>
        </w:tc>
      </w:tr>
      <w:tr w:rsidR="00B10292" w:rsidRPr="00B10292" w:rsidTr="00B10292">
        <w:trPr>
          <w:trHeight w:val="300"/>
        </w:trPr>
        <w:tc>
          <w:tcPr>
            <w:tcW w:w="4460" w:type="dxa"/>
            <w:tcBorders>
              <w:top w:val="nil"/>
              <w:left w:val="single" w:sz="8" w:space="0" w:color="auto"/>
              <w:bottom w:val="single" w:sz="4"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Nursing Home</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$160,983,700.00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10.87%</w:t>
            </w:r>
          </w:p>
        </w:tc>
      </w:tr>
      <w:tr w:rsidR="00B10292" w:rsidRPr="00B10292" w:rsidTr="00B10292">
        <w:trPr>
          <w:trHeight w:val="300"/>
        </w:trPr>
        <w:tc>
          <w:tcPr>
            <w:tcW w:w="4460" w:type="dxa"/>
            <w:tcBorders>
              <w:top w:val="nil"/>
              <w:left w:val="single" w:sz="8" w:space="0" w:color="auto"/>
              <w:bottom w:val="single" w:sz="4"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Contracted Health Plan Services</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$204,569,800.00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13.81%</w:t>
            </w:r>
          </w:p>
        </w:tc>
      </w:tr>
      <w:tr w:rsidR="00B10292" w:rsidRPr="00B10292" w:rsidTr="00B10292">
        <w:trPr>
          <w:trHeight w:val="300"/>
        </w:trPr>
        <w:tc>
          <w:tcPr>
            <w:tcW w:w="4460" w:type="dxa"/>
            <w:tcBorders>
              <w:top w:val="nil"/>
              <w:left w:val="single" w:sz="8" w:space="0" w:color="auto"/>
              <w:bottom w:val="single" w:sz="4"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Physician Services</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$94,763,000.00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6.40%</w:t>
            </w:r>
          </w:p>
        </w:tc>
      </w:tr>
      <w:tr w:rsidR="00B10292" w:rsidRPr="00B10292" w:rsidTr="00B10292">
        <w:trPr>
          <w:trHeight w:val="300"/>
        </w:trPr>
        <w:tc>
          <w:tcPr>
            <w:tcW w:w="4460" w:type="dxa"/>
            <w:tcBorders>
              <w:top w:val="nil"/>
              <w:left w:val="single" w:sz="8" w:space="0" w:color="auto"/>
              <w:bottom w:val="single" w:sz="4"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Outpatient Hospital</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$98,479,600.00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6.65%</w:t>
            </w:r>
          </w:p>
        </w:tc>
      </w:tr>
      <w:tr w:rsidR="00B10292" w:rsidRPr="00B10292" w:rsidTr="00B10292">
        <w:trPr>
          <w:trHeight w:val="300"/>
        </w:trPr>
        <w:tc>
          <w:tcPr>
            <w:tcW w:w="4460" w:type="dxa"/>
            <w:tcBorders>
              <w:top w:val="nil"/>
              <w:left w:val="single" w:sz="8" w:space="0" w:color="auto"/>
              <w:bottom w:val="single" w:sz="4"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Medical Supplies</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$14,044,000.00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0.95%</w:t>
            </w:r>
          </w:p>
        </w:tc>
      </w:tr>
      <w:tr w:rsidR="00B10292" w:rsidRPr="00B10292" w:rsidTr="00B10292">
        <w:trPr>
          <w:trHeight w:val="300"/>
        </w:trPr>
        <w:tc>
          <w:tcPr>
            <w:tcW w:w="4460" w:type="dxa"/>
            <w:tcBorders>
              <w:top w:val="nil"/>
              <w:left w:val="single" w:sz="8" w:space="0" w:color="auto"/>
              <w:bottom w:val="single" w:sz="4"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Pharmacy</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$166,316,000.00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11.23%</w:t>
            </w:r>
          </w:p>
        </w:tc>
      </w:tr>
      <w:tr w:rsidR="00B10292" w:rsidRPr="00B10292" w:rsidTr="00B10292">
        <w:trPr>
          <w:trHeight w:val="600"/>
        </w:trPr>
        <w:tc>
          <w:tcPr>
            <w:tcW w:w="4460" w:type="dxa"/>
            <w:tcBorders>
              <w:top w:val="nil"/>
              <w:left w:val="single" w:sz="8" w:space="0" w:color="auto"/>
              <w:bottom w:val="single" w:sz="4" w:space="0" w:color="auto"/>
              <w:right w:val="single" w:sz="8" w:space="0" w:color="auto"/>
            </w:tcBorders>
            <w:shd w:val="clear" w:color="000000" w:fill="FFFFFF"/>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Home and Community Based Services</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$157,761,100.00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10.65%</w:t>
            </w:r>
          </w:p>
        </w:tc>
      </w:tr>
      <w:tr w:rsidR="00B10292" w:rsidRPr="00B10292" w:rsidTr="00B10292">
        <w:trPr>
          <w:trHeight w:val="300"/>
        </w:trPr>
        <w:tc>
          <w:tcPr>
            <w:tcW w:w="4460" w:type="dxa"/>
            <w:tcBorders>
              <w:top w:val="nil"/>
              <w:left w:val="single" w:sz="8" w:space="0" w:color="auto"/>
              <w:bottom w:val="single" w:sz="4"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lang w:eastAsia="en-US"/>
              </w:rPr>
            </w:pPr>
            <w:r w:rsidRPr="00B10292">
              <w:rPr>
                <w:rFonts w:ascii="Times New Roman" w:hAnsi="Times New Roman"/>
                <w:lang w:eastAsia="en-US"/>
              </w:rPr>
              <w:t>Mental Health</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$143,517,700.00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9.69%</w:t>
            </w:r>
          </w:p>
        </w:tc>
      </w:tr>
      <w:tr w:rsidR="00B10292" w:rsidRPr="00B10292" w:rsidTr="00B10292">
        <w:trPr>
          <w:trHeight w:val="300"/>
        </w:trPr>
        <w:tc>
          <w:tcPr>
            <w:tcW w:w="4460" w:type="dxa"/>
            <w:tcBorders>
              <w:top w:val="nil"/>
              <w:left w:val="single" w:sz="8" w:space="0" w:color="auto"/>
              <w:bottom w:val="single" w:sz="4"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Dental</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$35,658,400.00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2.41%</w:t>
            </w:r>
          </w:p>
        </w:tc>
      </w:tr>
      <w:tr w:rsidR="00B10292" w:rsidRPr="00B10292" w:rsidTr="00B10292">
        <w:trPr>
          <w:trHeight w:val="300"/>
        </w:trPr>
        <w:tc>
          <w:tcPr>
            <w:tcW w:w="4460" w:type="dxa"/>
            <w:tcBorders>
              <w:top w:val="nil"/>
              <w:left w:val="single" w:sz="8" w:space="0" w:color="auto"/>
              <w:bottom w:val="single" w:sz="4"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Intermediate Care Facilities</w:t>
            </w:r>
          </w:p>
        </w:tc>
        <w:tc>
          <w:tcPr>
            <w:tcW w:w="2496"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$82,712,900.00</w:t>
            </w:r>
          </w:p>
        </w:tc>
        <w:tc>
          <w:tcPr>
            <w:tcW w:w="1924" w:type="dxa"/>
            <w:tcBorders>
              <w:top w:val="nil"/>
              <w:left w:val="nil"/>
              <w:bottom w:val="single" w:sz="4"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5.59%</w:t>
            </w:r>
          </w:p>
        </w:tc>
      </w:tr>
      <w:tr w:rsidR="00B10292" w:rsidRPr="00B10292" w:rsidTr="00B10292">
        <w:trPr>
          <w:trHeight w:val="315"/>
        </w:trPr>
        <w:tc>
          <w:tcPr>
            <w:tcW w:w="4460" w:type="dxa"/>
            <w:tcBorders>
              <w:top w:val="nil"/>
              <w:left w:val="single" w:sz="8" w:space="0" w:color="auto"/>
              <w:bottom w:val="nil"/>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Vision</w:t>
            </w:r>
          </w:p>
        </w:tc>
        <w:tc>
          <w:tcPr>
            <w:tcW w:w="2496" w:type="dxa"/>
            <w:tcBorders>
              <w:top w:val="nil"/>
              <w:left w:val="nil"/>
              <w:bottom w:val="nil"/>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$2,248,300.00</w:t>
            </w:r>
          </w:p>
        </w:tc>
        <w:tc>
          <w:tcPr>
            <w:tcW w:w="1924" w:type="dxa"/>
            <w:tcBorders>
              <w:top w:val="nil"/>
              <w:left w:val="nil"/>
              <w:bottom w:val="nil"/>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0.15%</w:t>
            </w:r>
          </w:p>
        </w:tc>
      </w:tr>
      <w:tr w:rsidR="00B10292" w:rsidRPr="00B10292" w:rsidTr="00B10292">
        <w:trPr>
          <w:trHeight w:val="315"/>
        </w:trPr>
        <w:tc>
          <w:tcPr>
            <w:tcW w:w="446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B10292" w:rsidRPr="00B10292" w:rsidRDefault="00B10292" w:rsidP="00B10292">
            <w:pPr>
              <w:spacing w:after="0" w:line="240" w:lineRule="auto"/>
              <w:rPr>
                <w:rFonts w:ascii="Times New Roman" w:hAnsi="Times New Roman"/>
                <w:color w:val="000000"/>
                <w:lang w:eastAsia="en-US"/>
              </w:rPr>
            </w:pPr>
            <w:r w:rsidRPr="00B10292">
              <w:rPr>
                <w:rFonts w:ascii="Times New Roman" w:hAnsi="Times New Roman"/>
                <w:color w:val="000000"/>
                <w:lang w:eastAsia="en-US"/>
              </w:rPr>
              <w:t>Total</w:t>
            </w:r>
          </w:p>
        </w:tc>
        <w:tc>
          <w:tcPr>
            <w:tcW w:w="2496" w:type="dxa"/>
            <w:tcBorders>
              <w:top w:val="single" w:sz="8" w:space="0" w:color="auto"/>
              <w:left w:val="nil"/>
              <w:bottom w:val="single" w:sz="8"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$1,480,975,100.00</w:t>
            </w:r>
          </w:p>
        </w:tc>
        <w:tc>
          <w:tcPr>
            <w:tcW w:w="1924" w:type="dxa"/>
            <w:tcBorders>
              <w:top w:val="single" w:sz="8" w:space="0" w:color="auto"/>
              <w:left w:val="nil"/>
              <w:bottom w:val="single" w:sz="8" w:space="0" w:color="auto"/>
              <w:right w:val="single" w:sz="8" w:space="0" w:color="auto"/>
            </w:tcBorders>
            <w:shd w:val="clear" w:color="auto" w:fill="auto"/>
            <w:noWrap/>
            <w:vAlign w:val="bottom"/>
            <w:hideMark/>
          </w:tcPr>
          <w:p w:rsidR="00B10292" w:rsidRPr="00B10292" w:rsidRDefault="00B10292" w:rsidP="00B10292">
            <w:pPr>
              <w:spacing w:after="0" w:line="240" w:lineRule="auto"/>
              <w:jc w:val="right"/>
              <w:rPr>
                <w:rFonts w:ascii="Times New Roman" w:hAnsi="Times New Roman"/>
                <w:color w:val="000000"/>
                <w:lang w:eastAsia="en-US"/>
              </w:rPr>
            </w:pPr>
            <w:r w:rsidRPr="00B10292">
              <w:rPr>
                <w:rFonts w:ascii="Times New Roman" w:hAnsi="Times New Roman"/>
                <w:color w:val="000000"/>
                <w:lang w:eastAsia="en-US"/>
              </w:rPr>
              <w:t>100.00%</w:t>
            </w:r>
          </w:p>
        </w:tc>
      </w:tr>
    </w:tbl>
    <w:p w:rsidR="00B0441B" w:rsidRDefault="00B0441B" w:rsidP="00B0441B">
      <w:pPr>
        <w:pStyle w:val="ListParagraph"/>
        <w:ind w:left="0"/>
        <w:jc w:val="center"/>
        <w:rPr>
          <w:rFonts w:ascii="Times New Roman" w:hAnsi="Times New Roman"/>
          <w:sz w:val="24"/>
          <w:szCs w:val="24"/>
        </w:rPr>
      </w:pPr>
    </w:p>
    <w:p w:rsidR="00B0441B" w:rsidRDefault="00B0441B" w:rsidP="00B0441B">
      <w:pPr>
        <w:pStyle w:val="ListParagraph"/>
        <w:ind w:left="0"/>
        <w:jc w:val="center"/>
        <w:rPr>
          <w:rFonts w:ascii="Times New Roman" w:hAnsi="Times New Roman"/>
          <w:sz w:val="24"/>
          <w:szCs w:val="24"/>
        </w:rPr>
      </w:pPr>
    </w:p>
    <w:p w:rsidR="00B0441B" w:rsidRDefault="00B0441B" w:rsidP="00B0441B">
      <w:pPr>
        <w:spacing w:after="0" w:line="240" w:lineRule="auto"/>
        <w:rPr>
          <w:rFonts w:ascii="Times New Roman" w:hAnsi="Times New Roman"/>
          <w:sz w:val="24"/>
          <w:szCs w:val="24"/>
        </w:rPr>
      </w:pPr>
      <w:r>
        <w:rPr>
          <w:rFonts w:ascii="Times New Roman" w:hAnsi="Times New Roman"/>
          <w:sz w:val="24"/>
          <w:szCs w:val="24"/>
        </w:rPr>
        <w:br w:type="page"/>
      </w:r>
    </w:p>
    <w:p w:rsidR="00B0441B" w:rsidRDefault="00B0441B" w:rsidP="00B0441B">
      <w:pPr>
        <w:pStyle w:val="ListParagraph"/>
        <w:ind w:left="0"/>
        <w:rPr>
          <w:rFonts w:ascii="Times New Roman" w:hAnsi="Times New Roman"/>
          <w:sz w:val="24"/>
          <w:szCs w:val="24"/>
        </w:rPr>
      </w:pPr>
      <w:r>
        <w:rPr>
          <w:rFonts w:ascii="Times New Roman" w:hAnsi="Times New Roman"/>
          <w:sz w:val="24"/>
          <w:szCs w:val="24"/>
        </w:rPr>
        <w:lastRenderedPageBreak/>
        <w:t>In the following chart, the IMPLAN sector total reflects the total Medicaid spending from the 2011 Medicaid annual report in the Medicaid categories that are shown beneath each IMPLAN sector line.</w:t>
      </w:r>
    </w:p>
    <w:p w:rsidR="00B0441B" w:rsidRDefault="00B0441B" w:rsidP="00B0441B">
      <w:pPr>
        <w:pStyle w:val="ListParagraph"/>
        <w:ind w:left="0"/>
        <w:rPr>
          <w:rFonts w:ascii="Times New Roman" w:hAnsi="Times New Roman"/>
          <w:sz w:val="24"/>
          <w:szCs w:val="24"/>
        </w:rPr>
      </w:pPr>
    </w:p>
    <w:p w:rsidR="00B0441B" w:rsidRDefault="00B0441B" w:rsidP="00B0441B">
      <w:pPr>
        <w:pStyle w:val="ListParagraph"/>
        <w:ind w:left="0"/>
        <w:rPr>
          <w:rFonts w:ascii="Times New Roman" w:hAnsi="Times New Roman"/>
          <w:sz w:val="24"/>
          <w:szCs w:val="24"/>
        </w:rPr>
      </w:pPr>
      <w:r>
        <w:rPr>
          <w:rFonts w:ascii="Times New Roman" w:hAnsi="Times New Roman"/>
          <w:sz w:val="24"/>
          <w:szCs w:val="24"/>
        </w:rPr>
        <w:t>The Medicaid spending was then placed into the applicable IMPLAN sectors as demonstrated in the following chart:</w:t>
      </w:r>
    </w:p>
    <w:p w:rsidR="00A97733" w:rsidRDefault="00A97733" w:rsidP="00B0441B">
      <w:pPr>
        <w:pStyle w:val="ListParagraph"/>
        <w:ind w:left="0"/>
        <w:rPr>
          <w:rFonts w:ascii="Times New Roman" w:hAnsi="Times New Roman"/>
          <w:sz w:val="24"/>
          <w:szCs w:val="24"/>
        </w:rPr>
      </w:pPr>
    </w:p>
    <w:p w:rsidR="00B0441B" w:rsidRDefault="00B10292" w:rsidP="00B0441B">
      <w:pPr>
        <w:pStyle w:val="ListParagraph"/>
        <w:ind w:left="0"/>
        <w:rPr>
          <w:rFonts w:ascii="Times New Roman" w:hAnsi="Times New Roman"/>
          <w:sz w:val="24"/>
          <w:szCs w:val="24"/>
        </w:rPr>
      </w:pPr>
      <w:r w:rsidRPr="00B10292">
        <w:rPr>
          <w:noProof/>
          <w:szCs w:val="24"/>
          <w:lang w:eastAsia="en-US"/>
        </w:rPr>
        <w:drawing>
          <wp:inline distT="0" distB="0" distL="0" distR="0">
            <wp:extent cx="5943600" cy="3695700"/>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5943600" cy="3695700"/>
                    </a:xfrm>
                    <a:prstGeom prst="rect">
                      <a:avLst/>
                    </a:prstGeom>
                    <a:noFill/>
                    <a:ln w="9525">
                      <a:noFill/>
                      <a:miter lim="800000"/>
                      <a:headEnd/>
                      <a:tailEnd/>
                    </a:ln>
                  </pic:spPr>
                </pic:pic>
              </a:graphicData>
            </a:graphic>
          </wp:inline>
        </w:drawing>
      </w:r>
    </w:p>
    <w:p w:rsidR="00B0441B" w:rsidRDefault="00B0441B" w:rsidP="00B0441B">
      <w:pPr>
        <w:pStyle w:val="ListParagraph"/>
        <w:ind w:left="0"/>
        <w:rPr>
          <w:rFonts w:ascii="Times New Roman" w:hAnsi="Times New Roman"/>
          <w:sz w:val="24"/>
          <w:szCs w:val="24"/>
        </w:rPr>
      </w:pPr>
    </w:p>
    <w:p w:rsidR="00B0441B" w:rsidRDefault="00B0441B" w:rsidP="00B0441B">
      <w:pPr>
        <w:pStyle w:val="ListParagraph"/>
        <w:ind w:left="0"/>
        <w:rPr>
          <w:rFonts w:ascii="Times New Roman" w:hAnsi="Times New Roman"/>
          <w:sz w:val="24"/>
          <w:szCs w:val="24"/>
        </w:rPr>
      </w:pPr>
      <w:r>
        <w:rPr>
          <w:rFonts w:ascii="Times New Roman" w:hAnsi="Times New Roman"/>
          <w:sz w:val="24"/>
          <w:szCs w:val="24"/>
        </w:rPr>
        <w:t xml:space="preserve">This methodology for allocating the modeled Medicaid spending was then used for each of the five scenarios.  Each scenario was modeled over three time periods: </w:t>
      </w:r>
    </w:p>
    <w:p w:rsidR="00B0441B" w:rsidRDefault="00B0441B" w:rsidP="00B0441B">
      <w:pPr>
        <w:pStyle w:val="ListParagraph"/>
        <w:ind w:left="0"/>
        <w:rPr>
          <w:rFonts w:ascii="Times New Roman" w:hAnsi="Times New Roman"/>
          <w:sz w:val="24"/>
          <w:szCs w:val="24"/>
        </w:rPr>
      </w:pPr>
    </w:p>
    <w:p w:rsidR="00B0441B" w:rsidRDefault="00B0441B" w:rsidP="00B0441B">
      <w:pPr>
        <w:pStyle w:val="ListParagraph"/>
        <w:numPr>
          <w:ilvl w:val="0"/>
          <w:numId w:val="27"/>
        </w:numPr>
        <w:rPr>
          <w:rFonts w:ascii="Times New Roman" w:hAnsi="Times New Roman"/>
          <w:sz w:val="24"/>
          <w:szCs w:val="24"/>
        </w:rPr>
      </w:pPr>
      <w:r>
        <w:rPr>
          <w:rFonts w:ascii="Times New Roman" w:hAnsi="Times New Roman"/>
          <w:sz w:val="24"/>
          <w:szCs w:val="24"/>
        </w:rPr>
        <w:t xml:space="preserve">The modeled Medicaid spending in 2014, </w:t>
      </w:r>
    </w:p>
    <w:p w:rsidR="00B0441B" w:rsidRDefault="00B0441B" w:rsidP="00B0441B">
      <w:pPr>
        <w:pStyle w:val="ListParagraph"/>
        <w:numPr>
          <w:ilvl w:val="0"/>
          <w:numId w:val="27"/>
        </w:numPr>
        <w:rPr>
          <w:rFonts w:ascii="Times New Roman" w:hAnsi="Times New Roman"/>
          <w:sz w:val="24"/>
          <w:szCs w:val="24"/>
        </w:rPr>
      </w:pPr>
      <w:r>
        <w:rPr>
          <w:rFonts w:ascii="Times New Roman" w:hAnsi="Times New Roman"/>
          <w:sz w:val="24"/>
          <w:szCs w:val="24"/>
        </w:rPr>
        <w:t xml:space="preserve">The yearly average modeled Medicaid spending from 2014-2016, and </w:t>
      </w:r>
    </w:p>
    <w:p w:rsidR="00B0441B" w:rsidRDefault="00B0441B" w:rsidP="00B0441B">
      <w:pPr>
        <w:pStyle w:val="ListParagraph"/>
        <w:numPr>
          <w:ilvl w:val="0"/>
          <w:numId w:val="27"/>
        </w:numPr>
        <w:rPr>
          <w:rFonts w:ascii="Times New Roman" w:hAnsi="Times New Roman"/>
          <w:sz w:val="24"/>
          <w:szCs w:val="24"/>
        </w:rPr>
      </w:pPr>
      <w:r>
        <w:rPr>
          <w:rFonts w:ascii="Times New Roman" w:hAnsi="Times New Roman"/>
          <w:sz w:val="24"/>
          <w:szCs w:val="24"/>
        </w:rPr>
        <w:t>The yearly average modeled Medicaid spending from 2014-2023.</w:t>
      </w:r>
    </w:p>
    <w:p w:rsidR="002456DD" w:rsidRDefault="002456DD" w:rsidP="00B0441B">
      <w:pPr>
        <w:rPr>
          <w:rFonts w:ascii="Times New Roman" w:hAnsi="Times New Roman"/>
          <w:b/>
          <w:sz w:val="24"/>
          <w:szCs w:val="24"/>
        </w:rPr>
      </w:pPr>
    </w:p>
    <w:p w:rsidR="002456DD" w:rsidRDefault="002456DD" w:rsidP="00B0441B">
      <w:pPr>
        <w:rPr>
          <w:rFonts w:ascii="Times New Roman" w:hAnsi="Times New Roman"/>
          <w:b/>
          <w:sz w:val="24"/>
          <w:szCs w:val="24"/>
        </w:rPr>
      </w:pPr>
    </w:p>
    <w:p w:rsidR="00B0441B" w:rsidRPr="00F6202B" w:rsidRDefault="00B0441B" w:rsidP="00B0441B">
      <w:pPr>
        <w:rPr>
          <w:rFonts w:ascii="Times New Roman" w:hAnsi="Times New Roman"/>
          <w:b/>
          <w:sz w:val="24"/>
          <w:szCs w:val="24"/>
        </w:rPr>
      </w:pPr>
      <w:r w:rsidRPr="00F6202B">
        <w:rPr>
          <w:rFonts w:ascii="Times New Roman" w:hAnsi="Times New Roman"/>
          <w:b/>
          <w:sz w:val="24"/>
          <w:szCs w:val="24"/>
        </w:rPr>
        <w:lastRenderedPageBreak/>
        <w:t>Results</w:t>
      </w:r>
    </w:p>
    <w:p w:rsidR="00B0441B" w:rsidRDefault="00B0441B" w:rsidP="00B0441B">
      <w:pPr>
        <w:rPr>
          <w:rFonts w:ascii="Times New Roman" w:hAnsi="Times New Roman"/>
          <w:sz w:val="24"/>
          <w:szCs w:val="24"/>
        </w:rPr>
      </w:pPr>
      <w:r>
        <w:rPr>
          <w:rFonts w:ascii="Times New Roman" w:hAnsi="Times New Roman"/>
          <w:sz w:val="24"/>
          <w:szCs w:val="24"/>
        </w:rPr>
        <w:t xml:space="preserve">The charts below detail the results of the IMPLAN model for each scenario.  Two overarching results are shown. First, the total impact to the state economy is shown.  This demonstrates how all industries across the state are affected by increased Medicaid spending.  This result is shown in the following three areas: employment gain, labor income, and value added. Dollar figures for each projected year are demonstrated in the respective year.  </w:t>
      </w:r>
    </w:p>
    <w:p w:rsidR="00B0441B" w:rsidRDefault="00B0441B" w:rsidP="00B0441B">
      <w:pPr>
        <w:rPr>
          <w:rFonts w:ascii="Times New Roman" w:hAnsi="Times New Roman"/>
          <w:sz w:val="24"/>
          <w:szCs w:val="24"/>
        </w:rPr>
      </w:pPr>
      <w:r>
        <w:rPr>
          <w:rFonts w:ascii="Times New Roman" w:hAnsi="Times New Roman"/>
          <w:sz w:val="24"/>
          <w:szCs w:val="24"/>
        </w:rPr>
        <w:t xml:space="preserve">Secondly in order to show the information on a more granular level </w:t>
      </w:r>
      <w:r w:rsidRPr="009E1D70">
        <w:rPr>
          <w:rFonts w:ascii="Times New Roman" w:hAnsi="Times New Roman"/>
          <w:sz w:val="24"/>
          <w:szCs w:val="24"/>
        </w:rPr>
        <w:t xml:space="preserve">the top ten industries of Utah's economy in terms of value added due to the increased revenue to the state from </w:t>
      </w:r>
      <w:r>
        <w:rPr>
          <w:rFonts w:ascii="Times New Roman" w:hAnsi="Times New Roman"/>
          <w:sz w:val="24"/>
          <w:szCs w:val="24"/>
        </w:rPr>
        <w:t>M</w:t>
      </w:r>
      <w:r w:rsidRPr="009E1D70">
        <w:rPr>
          <w:rFonts w:ascii="Times New Roman" w:hAnsi="Times New Roman"/>
          <w:sz w:val="24"/>
          <w:szCs w:val="24"/>
        </w:rPr>
        <w:t>edicaid expenditures</w:t>
      </w:r>
      <w:r>
        <w:rPr>
          <w:rFonts w:ascii="Times New Roman" w:hAnsi="Times New Roman"/>
          <w:sz w:val="24"/>
          <w:szCs w:val="24"/>
        </w:rPr>
        <w:t xml:space="preserve"> are shown.  For reference, the IMPLAN model defines “value added” as follows:</w:t>
      </w:r>
    </w:p>
    <w:p w:rsidR="00B0441B" w:rsidRDefault="00B0441B" w:rsidP="00B0441B">
      <w:pPr>
        <w:ind w:left="720"/>
        <w:rPr>
          <w:rFonts w:ascii="Times New Roman" w:hAnsi="Times New Roman"/>
          <w:sz w:val="24"/>
          <w:szCs w:val="24"/>
        </w:rPr>
      </w:pPr>
      <w:r>
        <w:rPr>
          <w:rFonts w:ascii="Times New Roman" w:hAnsi="Times New Roman"/>
          <w:sz w:val="24"/>
          <w:szCs w:val="24"/>
        </w:rPr>
        <w:t>“</w:t>
      </w:r>
      <w:r w:rsidRPr="009E1D70">
        <w:rPr>
          <w:rFonts w:ascii="Times New Roman" w:hAnsi="Times New Roman"/>
          <w:sz w:val="24"/>
          <w:szCs w:val="24"/>
        </w:rPr>
        <w:t xml:space="preserve">The difference between an industry’s </w:t>
      </w:r>
      <w:proofErr w:type="gramStart"/>
      <w:r w:rsidRPr="009E1D70">
        <w:rPr>
          <w:rFonts w:ascii="Times New Roman" w:hAnsi="Times New Roman"/>
          <w:sz w:val="24"/>
          <w:szCs w:val="24"/>
        </w:rPr>
        <w:t>or</w:t>
      </w:r>
      <w:proofErr w:type="gramEnd"/>
      <w:r w:rsidRPr="009E1D70">
        <w:rPr>
          <w:rFonts w:ascii="Times New Roman" w:hAnsi="Times New Roman"/>
          <w:sz w:val="24"/>
          <w:szCs w:val="24"/>
        </w:rPr>
        <w:t xml:space="preserve"> an establishment</w:t>
      </w:r>
      <w:r w:rsidR="006B142A">
        <w:rPr>
          <w:rFonts w:ascii="Times New Roman" w:hAnsi="Times New Roman"/>
          <w:sz w:val="24"/>
          <w:szCs w:val="24"/>
        </w:rPr>
        <w:t>’</w:t>
      </w:r>
      <w:r w:rsidRPr="009E1D70">
        <w:rPr>
          <w:rFonts w:ascii="Times New Roman" w:hAnsi="Times New Roman"/>
          <w:sz w:val="24"/>
          <w:szCs w:val="24"/>
        </w:rPr>
        <w:t xml:space="preserve">s </w:t>
      </w:r>
      <w:r>
        <w:rPr>
          <w:rFonts w:ascii="Times New Roman" w:hAnsi="Times New Roman"/>
          <w:sz w:val="24"/>
          <w:szCs w:val="24"/>
        </w:rPr>
        <w:t>total output and the cost of it</w:t>
      </w:r>
      <w:r w:rsidRPr="009E1D70">
        <w:rPr>
          <w:rFonts w:ascii="Times New Roman" w:hAnsi="Times New Roman"/>
          <w:sz w:val="24"/>
          <w:szCs w:val="24"/>
        </w:rPr>
        <w:t>s intermediate inputs. It equals gross output (sales or receipts and other operating income, plus inventory change) minus intermediate inputs (consumption of goods and services purchased from other industries or imported). Value added consists of compensation of employees, taxes on production and imports less subsidies (formerly indirect business taxes and nontax payments), and gross operating surplus (formerly “other value added”). (BEA); Gross value added is the value of output less the value of intermediate consumption; it is a measure of the contribution to GDP made by an individual producer, industry or sector; gross value added is the source from which the primary incomes of the SNA are generated and is therefore carried forward into the primary d</w:t>
      </w:r>
      <w:r>
        <w:rPr>
          <w:rFonts w:ascii="Times New Roman" w:hAnsi="Times New Roman"/>
          <w:sz w:val="24"/>
          <w:szCs w:val="24"/>
        </w:rPr>
        <w:t>istribution of income account.</w:t>
      </w:r>
      <w:r w:rsidR="00D353CC">
        <w:rPr>
          <w:rStyle w:val="FootnoteReference"/>
          <w:rFonts w:ascii="Times New Roman" w:hAnsi="Times New Roman"/>
          <w:sz w:val="24"/>
          <w:szCs w:val="24"/>
        </w:rPr>
        <w:footnoteReference w:id="13"/>
      </w:r>
      <w:r>
        <w:rPr>
          <w:rFonts w:ascii="Times New Roman" w:hAnsi="Times New Roman"/>
          <w:sz w:val="24"/>
          <w:szCs w:val="24"/>
        </w:rPr>
        <w:t>”</w:t>
      </w:r>
    </w:p>
    <w:p w:rsidR="00B0441B" w:rsidRDefault="00B0441B" w:rsidP="00B0441B">
      <w:pPr>
        <w:pStyle w:val="ListParagraph"/>
        <w:ind w:left="0"/>
        <w:rPr>
          <w:rFonts w:ascii="Times New Roman" w:hAnsi="Times New Roman"/>
          <w:sz w:val="24"/>
          <w:szCs w:val="24"/>
        </w:rPr>
      </w:pPr>
      <w:r>
        <w:rPr>
          <w:rFonts w:ascii="Times New Roman" w:hAnsi="Times New Roman"/>
          <w:sz w:val="24"/>
          <w:szCs w:val="24"/>
        </w:rPr>
        <w:t>These charts demonstrate net job additions for each of the top ten industries, net labor income in each industry, and finally additions to the Gross State Product (GSP).  The ten industries that are the most effected by Medicaid expansion remain largely the same across scenarios and over time periods, but there is some divergence in the degree to which the spending affects the industries and thus their ranking.  Eleven industries make the lists.  The following list presents the industries in alphabetical order:</w:t>
      </w:r>
    </w:p>
    <w:p w:rsidR="00B0441B" w:rsidRDefault="00B0441B" w:rsidP="00B0441B">
      <w:pPr>
        <w:pStyle w:val="ListParagraph"/>
        <w:ind w:left="0"/>
        <w:rPr>
          <w:rFonts w:ascii="Times New Roman" w:hAnsi="Times New Roman"/>
          <w:sz w:val="24"/>
          <w:szCs w:val="24"/>
        </w:rPr>
      </w:pPr>
    </w:p>
    <w:p w:rsidR="00B0441B" w:rsidRPr="00144F55"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t>Empl</w:t>
      </w:r>
      <w:r>
        <w:rPr>
          <w:rFonts w:ascii="Times New Roman" w:hAnsi="Times New Roman"/>
          <w:sz w:val="24"/>
          <w:szCs w:val="24"/>
        </w:rPr>
        <w:t>oyment and payroll only (state and</w:t>
      </w:r>
      <w:r w:rsidRPr="00144F55">
        <w:rPr>
          <w:rFonts w:ascii="Times New Roman" w:hAnsi="Times New Roman"/>
          <w:sz w:val="24"/>
          <w:szCs w:val="24"/>
        </w:rPr>
        <w:t xml:space="preserve"> local gov</w:t>
      </w:r>
      <w:r>
        <w:rPr>
          <w:rFonts w:ascii="Times New Roman" w:hAnsi="Times New Roman"/>
          <w:sz w:val="24"/>
          <w:szCs w:val="24"/>
        </w:rPr>
        <w:t>ernment</w:t>
      </w:r>
      <w:r w:rsidRPr="00144F55">
        <w:rPr>
          <w:rFonts w:ascii="Times New Roman" w:hAnsi="Times New Roman"/>
          <w:sz w:val="24"/>
          <w:szCs w:val="24"/>
        </w:rPr>
        <w:t>, non-education)</w:t>
      </w:r>
      <w:r>
        <w:rPr>
          <w:rFonts w:ascii="Times New Roman" w:hAnsi="Times New Roman"/>
          <w:sz w:val="24"/>
          <w:szCs w:val="24"/>
        </w:rPr>
        <w:t>,</w:t>
      </w:r>
    </w:p>
    <w:p w:rsidR="00B0441B" w:rsidRPr="00144F55"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t>Food services and drinking places</w:t>
      </w:r>
      <w:r>
        <w:rPr>
          <w:rFonts w:ascii="Times New Roman" w:hAnsi="Times New Roman"/>
          <w:sz w:val="24"/>
          <w:szCs w:val="24"/>
        </w:rPr>
        <w:t>,</w:t>
      </w:r>
    </w:p>
    <w:p w:rsidR="00B0441B" w:rsidRPr="00144F55"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t>Home health care services</w:t>
      </w:r>
      <w:r>
        <w:rPr>
          <w:rFonts w:ascii="Times New Roman" w:hAnsi="Times New Roman"/>
          <w:sz w:val="24"/>
          <w:szCs w:val="24"/>
        </w:rPr>
        <w:t>,</w:t>
      </w:r>
    </w:p>
    <w:p w:rsidR="00B0441B" w:rsidRPr="00144F55"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t>Imputed rental activity for owner-occupied dwellings</w:t>
      </w:r>
      <w:r>
        <w:rPr>
          <w:rFonts w:ascii="Times New Roman" w:hAnsi="Times New Roman"/>
          <w:sz w:val="24"/>
          <w:szCs w:val="24"/>
        </w:rPr>
        <w:t>,</w:t>
      </w:r>
    </w:p>
    <w:p w:rsidR="00B0441B" w:rsidRPr="00144F55"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t>Medical and diagnostic labs and outpatient and other ambulatory care services</w:t>
      </w:r>
      <w:r>
        <w:rPr>
          <w:rFonts w:ascii="Times New Roman" w:hAnsi="Times New Roman"/>
          <w:sz w:val="24"/>
          <w:szCs w:val="24"/>
        </w:rPr>
        <w:t>,</w:t>
      </w:r>
    </w:p>
    <w:p w:rsidR="00B0441B" w:rsidRPr="00144F55"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lastRenderedPageBreak/>
        <w:t>Monetary authorities and depository credit intermediation activities</w:t>
      </w:r>
      <w:r>
        <w:rPr>
          <w:rFonts w:ascii="Times New Roman" w:hAnsi="Times New Roman"/>
          <w:sz w:val="24"/>
          <w:szCs w:val="24"/>
        </w:rPr>
        <w:t>,</w:t>
      </w:r>
    </w:p>
    <w:p w:rsidR="00B0441B" w:rsidRPr="00144F55"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t>Nursing and residential care facilities</w:t>
      </w:r>
      <w:r>
        <w:rPr>
          <w:rFonts w:ascii="Times New Roman" w:hAnsi="Times New Roman"/>
          <w:sz w:val="24"/>
          <w:szCs w:val="24"/>
        </w:rPr>
        <w:t>,</w:t>
      </w:r>
    </w:p>
    <w:p w:rsidR="00B0441B" w:rsidRPr="00144F55"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t>Offices of physicians, dentists, and other health practitioners</w:t>
      </w:r>
      <w:r>
        <w:rPr>
          <w:rFonts w:ascii="Times New Roman" w:hAnsi="Times New Roman"/>
          <w:sz w:val="24"/>
          <w:szCs w:val="24"/>
        </w:rPr>
        <w:t>,</w:t>
      </w:r>
    </w:p>
    <w:p w:rsidR="00B0441B"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t>Private hospitals</w:t>
      </w:r>
      <w:r>
        <w:rPr>
          <w:rFonts w:ascii="Times New Roman" w:hAnsi="Times New Roman"/>
          <w:sz w:val="24"/>
          <w:szCs w:val="24"/>
        </w:rPr>
        <w:t>,</w:t>
      </w:r>
    </w:p>
    <w:p w:rsidR="00B0441B" w:rsidRPr="00144F55" w:rsidRDefault="00B0441B" w:rsidP="00B0441B">
      <w:pPr>
        <w:pStyle w:val="ListParagraph"/>
        <w:rPr>
          <w:rFonts w:ascii="Times New Roman" w:hAnsi="Times New Roman"/>
          <w:sz w:val="24"/>
          <w:szCs w:val="24"/>
        </w:rPr>
      </w:pPr>
    </w:p>
    <w:p w:rsidR="00B0441B" w:rsidRPr="00144F55"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t>Real estate establishments</w:t>
      </w:r>
      <w:r>
        <w:rPr>
          <w:rFonts w:ascii="Times New Roman" w:hAnsi="Times New Roman"/>
          <w:sz w:val="24"/>
          <w:szCs w:val="24"/>
        </w:rPr>
        <w:t>, and</w:t>
      </w:r>
    </w:p>
    <w:p w:rsidR="00B0441B" w:rsidRDefault="00B0441B" w:rsidP="00B0441B">
      <w:pPr>
        <w:pStyle w:val="ListParagraph"/>
        <w:numPr>
          <w:ilvl w:val="0"/>
          <w:numId w:val="28"/>
        </w:numPr>
        <w:rPr>
          <w:rFonts w:ascii="Times New Roman" w:hAnsi="Times New Roman"/>
          <w:sz w:val="24"/>
          <w:szCs w:val="24"/>
        </w:rPr>
      </w:pPr>
      <w:r w:rsidRPr="00144F55">
        <w:rPr>
          <w:rFonts w:ascii="Times New Roman" w:hAnsi="Times New Roman"/>
          <w:sz w:val="24"/>
          <w:szCs w:val="24"/>
        </w:rPr>
        <w:t>Wholesale trade businesses</w:t>
      </w:r>
      <w:r>
        <w:rPr>
          <w:rFonts w:ascii="Times New Roman" w:hAnsi="Times New Roman"/>
          <w:sz w:val="24"/>
          <w:szCs w:val="24"/>
        </w:rPr>
        <w:t>.</w:t>
      </w:r>
    </w:p>
    <w:p w:rsidR="00B0441B" w:rsidRDefault="00B0441B" w:rsidP="00B0441B">
      <w:pPr>
        <w:pStyle w:val="ListParagraph"/>
        <w:rPr>
          <w:rFonts w:ascii="Times New Roman" w:hAnsi="Times New Roman"/>
          <w:sz w:val="24"/>
          <w:szCs w:val="24"/>
        </w:rPr>
      </w:pPr>
    </w:p>
    <w:p w:rsidR="00B0441B" w:rsidRDefault="00B0441B" w:rsidP="00B0441B">
      <w:pPr>
        <w:pStyle w:val="ListParagraph"/>
        <w:ind w:left="0"/>
        <w:rPr>
          <w:rFonts w:ascii="Times New Roman" w:hAnsi="Times New Roman"/>
          <w:b/>
          <w:sz w:val="24"/>
          <w:szCs w:val="24"/>
        </w:rPr>
      </w:pPr>
      <w:r>
        <w:rPr>
          <w:rFonts w:ascii="Times New Roman" w:hAnsi="Times New Roman"/>
          <w:b/>
          <w:sz w:val="24"/>
          <w:szCs w:val="24"/>
        </w:rPr>
        <w:t xml:space="preserve">Total Revenues by Scenario </w:t>
      </w:r>
      <w:proofErr w:type="gramStart"/>
      <w:r>
        <w:rPr>
          <w:rFonts w:ascii="Times New Roman" w:hAnsi="Times New Roman"/>
          <w:b/>
          <w:sz w:val="24"/>
          <w:szCs w:val="24"/>
        </w:rPr>
        <w:t>Across</w:t>
      </w:r>
      <w:proofErr w:type="gramEnd"/>
      <w:r>
        <w:rPr>
          <w:rFonts w:ascii="Times New Roman" w:hAnsi="Times New Roman"/>
          <w:b/>
          <w:sz w:val="24"/>
          <w:szCs w:val="24"/>
        </w:rPr>
        <w:t xml:space="preserve"> all Industries</w:t>
      </w:r>
    </w:p>
    <w:p w:rsidR="00B0441B" w:rsidRDefault="00B0441B" w:rsidP="00B0441B">
      <w:pPr>
        <w:pStyle w:val="ListParagraph"/>
        <w:ind w:left="0"/>
        <w:rPr>
          <w:rFonts w:ascii="Times New Roman" w:hAnsi="Times New Roman"/>
          <w:b/>
          <w:sz w:val="24"/>
          <w:szCs w:val="24"/>
        </w:rPr>
      </w:pPr>
    </w:p>
    <w:p w:rsidR="00B0441B" w:rsidRDefault="00A97733" w:rsidP="00B0441B">
      <w:pPr>
        <w:pStyle w:val="ListParagraph"/>
        <w:ind w:left="0"/>
        <w:jc w:val="center"/>
        <w:rPr>
          <w:rFonts w:ascii="Times New Roman" w:hAnsi="Times New Roman"/>
          <w:b/>
          <w:sz w:val="24"/>
          <w:szCs w:val="24"/>
        </w:rPr>
      </w:pPr>
      <w:r w:rsidRPr="00A97733">
        <w:rPr>
          <w:noProof/>
          <w:szCs w:val="24"/>
          <w:lang w:eastAsia="en-US"/>
        </w:rPr>
        <w:drawing>
          <wp:inline distT="0" distB="0" distL="0" distR="0">
            <wp:extent cx="5426075" cy="3571240"/>
            <wp:effectExtent l="19050" t="0" r="3175"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5426075" cy="3571240"/>
                    </a:xfrm>
                    <a:prstGeom prst="rect">
                      <a:avLst/>
                    </a:prstGeom>
                    <a:noFill/>
                    <a:ln w="9525">
                      <a:noFill/>
                      <a:miter lim="800000"/>
                      <a:headEnd/>
                      <a:tailEnd/>
                    </a:ln>
                  </pic:spPr>
                </pic:pic>
              </a:graphicData>
            </a:graphic>
          </wp:inline>
        </w:drawing>
      </w:r>
    </w:p>
    <w:p w:rsidR="00B0441B" w:rsidRDefault="00B0441B" w:rsidP="00B0441B">
      <w:pPr>
        <w:jc w:val="center"/>
        <w:rPr>
          <w:rFonts w:ascii="Times New Roman" w:hAnsi="Times New Roman"/>
          <w:b/>
          <w:sz w:val="24"/>
          <w:szCs w:val="24"/>
        </w:rPr>
      </w:pPr>
      <w:r>
        <w:rPr>
          <w:rFonts w:ascii="Times New Roman" w:hAnsi="Times New Roman"/>
          <w:b/>
          <w:sz w:val="24"/>
          <w:szCs w:val="24"/>
        </w:rPr>
        <w:br w:type="page"/>
      </w:r>
    </w:p>
    <w:p w:rsidR="00B0441B" w:rsidRDefault="00B0441B" w:rsidP="00B0441B">
      <w:pPr>
        <w:pStyle w:val="ListParagraph"/>
        <w:ind w:left="0"/>
        <w:rPr>
          <w:rFonts w:ascii="Times New Roman" w:hAnsi="Times New Roman"/>
          <w:b/>
          <w:sz w:val="24"/>
          <w:szCs w:val="24"/>
        </w:rPr>
      </w:pPr>
      <w:r>
        <w:rPr>
          <w:rFonts w:ascii="Times New Roman" w:hAnsi="Times New Roman"/>
          <w:b/>
          <w:sz w:val="24"/>
          <w:szCs w:val="24"/>
        </w:rPr>
        <w:lastRenderedPageBreak/>
        <w:t>Scenario 1</w:t>
      </w:r>
      <w:r w:rsidRPr="003E62B2">
        <w:rPr>
          <w:rFonts w:ascii="Times New Roman" w:hAnsi="Times New Roman"/>
          <w:b/>
          <w:sz w:val="24"/>
          <w:szCs w:val="24"/>
        </w:rPr>
        <w:t xml:space="preserve"> Revenues by Top Ten Industries (1/2)</w:t>
      </w:r>
    </w:p>
    <w:p w:rsidR="00B0441B" w:rsidRDefault="009C7E1C" w:rsidP="00B0441B">
      <w:pPr>
        <w:pStyle w:val="ListParagraph"/>
        <w:ind w:left="0"/>
        <w:rPr>
          <w:rFonts w:ascii="Times New Roman" w:hAnsi="Times New Roman"/>
          <w:b/>
          <w:sz w:val="24"/>
          <w:szCs w:val="24"/>
        </w:rPr>
      </w:pPr>
      <w:r w:rsidRPr="009C7E1C">
        <w:rPr>
          <w:noProof/>
          <w:szCs w:val="24"/>
          <w:lang w:eastAsia="en-US"/>
        </w:rPr>
        <w:drawing>
          <wp:inline distT="0" distB="0" distL="0" distR="0">
            <wp:extent cx="5943600" cy="6643882"/>
            <wp:effectExtent l="19050" t="0" r="0" b="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srcRect/>
                    <a:stretch>
                      <a:fillRect/>
                    </a:stretch>
                  </pic:blipFill>
                  <pic:spPr bwMode="auto">
                    <a:xfrm>
                      <a:off x="0" y="0"/>
                      <a:ext cx="5943600" cy="6643882"/>
                    </a:xfrm>
                    <a:prstGeom prst="rect">
                      <a:avLst/>
                    </a:prstGeom>
                    <a:noFill/>
                    <a:ln w="9525">
                      <a:noFill/>
                      <a:miter lim="800000"/>
                      <a:headEnd/>
                      <a:tailEnd/>
                    </a:ln>
                  </pic:spPr>
                </pic:pic>
              </a:graphicData>
            </a:graphic>
          </wp:inline>
        </w:drawing>
      </w:r>
      <w:r w:rsidR="00B0441B">
        <w:rPr>
          <w:rFonts w:ascii="Times New Roman" w:hAnsi="Times New Roman"/>
          <w:b/>
          <w:sz w:val="24"/>
          <w:szCs w:val="24"/>
        </w:rPr>
        <w:br w:type="page"/>
      </w:r>
      <w:r w:rsidR="00B0441B">
        <w:rPr>
          <w:rFonts w:ascii="Times New Roman" w:hAnsi="Times New Roman"/>
          <w:b/>
          <w:sz w:val="24"/>
          <w:szCs w:val="24"/>
        </w:rPr>
        <w:lastRenderedPageBreak/>
        <w:t>Scenario 1</w:t>
      </w:r>
      <w:r w:rsidR="00B0441B" w:rsidRPr="003E62B2">
        <w:rPr>
          <w:rFonts w:ascii="Times New Roman" w:hAnsi="Times New Roman"/>
          <w:b/>
          <w:sz w:val="24"/>
          <w:szCs w:val="24"/>
        </w:rPr>
        <w:t xml:space="preserve"> Revenues by Top Ten Industries</w:t>
      </w:r>
      <w:r w:rsidR="00B0441B">
        <w:rPr>
          <w:rFonts w:ascii="Times New Roman" w:hAnsi="Times New Roman"/>
          <w:b/>
          <w:sz w:val="24"/>
          <w:szCs w:val="24"/>
        </w:rPr>
        <w:t xml:space="preserve"> (2</w:t>
      </w:r>
      <w:r w:rsidR="00B0441B" w:rsidRPr="003E62B2">
        <w:rPr>
          <w:rFonts w:ascii="Times New Roman" w:hAnsi="Times New Roman"/>
          <w:b/>
          <w:sz w:val="24"/>
          <w:szCs w:val="24"/>
        </w:rPr>
        <w:t>/2)</w:t>
      </w:r>
    </w:p>
    <w:p w:rsidR="004675A6" w:rsidRPr="003E62B2" w:rsidRDefault="004675A6" w:rsidP="00B0441B">
      <w:pPr>
        <w:pStyle w:val="ListParagraph"/>
        <w:ind w:left="0"/>
        <w:rPr>
          <w:rFonts w:ascii="Times New Roman" w:hAnsi="Times New Roman"/>
          <w:b/>
          <w:sz w:val="24"/>
          <w:szCs w:val="24"/>
        </w:rPr>
      </w:pPr>
    </w:p>
    <w:p w:rsidR="00B0441B" w:rsidRDefault="009C7E1C" w:rsidP="00EE4F9F">
      <w:pPr>
        <w:pStyle w:val="ListParagraph"/>
        <w:ind w:left="0"/>
        <w:rPr>
          <w:rFonts w:ascii="Times New Roman" w:hAnsi="Times New Roman"/>
          <w:b/>
          <w:sz w:val="24"/>
          <w:szCs w:val="24"/>
        </w:rPr>
      </w:pPr>
      <w:r w:rsidRPr="009C7E1C">
        <w:rPr>
          <w:noProof/>
          <w:szCs w:val="24"/>
          <w:lang w:eastAsia="en-US"/>
        </w:rPr>
        <w:drawing>
          <wp:inline distT="0" distB="0" distL="0" distR="0">
            <wp:extent cx="5943600" cy="3219791"/>
            <wp:effectExtent l="19050" t="0" r="0" b="0"/>
            <wp:docPr id="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srcRect/>
                    <a:stretch>
                      <a:fillRect/>
                    </a:stretch>
                  </pic:blipFill>
                  <pic:spPr bwMode="auto">
                    <a:xfrm>
                      <a:off x="0" y="0"/>
                      <a:ext cx="5943600" cy="3219791"/>
                    </a:xfrm>
                    <a:prstGeom prst="rect">
                      <a:avLst/>
                    </a:prstGeom>
                    <a:noFill/>
                    <a:ln w="9525">
                      <a:noFill/>
                      <a:miter lim="800000"/>
                      <a:headEnd/>
                      <a:tailEnd/>
                    </a:ln>
                  </pic:spPr>
                </pic:pic>
              </a:graphicData>
            </a:graphic>
          </wp:inline>
        </w:drawing>
      </w:r>
    </w:p>
    <w:p w:rsidR="00B0441B" w:rsidRDefault="00B0441B" w:rsidP="00B0441B">
      <w:pPr>
        <w:rPr>
          <w:rFonts w:ascii="Times New Roman" w:hAnsi="Times New Roman"/>
          <w:sz w:val="24"/>
          <w:szCs w:val="24"/>
        </w:rPr>
      </w:pPr>
      <w:r>
        <w:rPr>
          <w:rFonts w:ascii="Times New Roman" w:hAnsi="Times New Roman"/>
          <w:sz w:val="24"/>
          <w:szCs w:val="24"/>
        </w:rPr>
        <w:br w:type="page"/>
      </w:r>
    </w:p>
    <w:p w:rsidR="00487714" w:rsidRDefault="00B0441B" w:rsidP="00B0441B">
      <w:pPr>
        <w:pStyle w:val="ListParagraph"/>
        <w:ind w:left="0"/>
        <w:rPr>
          <w:rFonts w:ascii="Times New Roman" w:hAnsi="Times New Roman"/>
          <w:b/>
          <w:sz w:val="24"/>
          <w:szCs w:val="24"/>
        </w:rPr>
      </w:pPr>
      <w:r>
        <w:rPr>
          <w:rFonts w:ascii="Times New Roman" w:hAnsi="Times New Roman"/>
          <w:b/>
          <w:sz w:val="24"/>
          <w:szCs w:val="24"/>
        </w:rPr>
        <w:lastRenderedPageBreak/>
        <w:t>Scenario 2</w:t>
      </w:r>
      <w:r w:rsidRPr="003E62B2">
        <w:rPr>
          <w:rFonts w:ascii="Times New Roman" w:hAnsi="Times New Roman"/>
          <w:b/>
          <w:sz w:val="24"/>
          <w:szCs w:val="24"/>
        </w:rPr>
        <w:t xml:space="preserve"> Revenues by Top Ten Industries (1/2)</w:t>
      </w:r>
    </w:p>
    <w:p w:rsidR="00B0441B" w:rsidRDefault="009C7E1C" w:rsidP="00B0441B">
      <w:pPr>
        <w:pStyle w:val="ListParagraph"/>
        <w:ind w:left="0"/>
        <w:rPr>
          <w:rFonts w:ascii="Times New Roman" w:hAnsi="Times New Roman"/>
          <w:b/>
          <w:sz w:val="24"/>
          <w:szCs w:val="24"/>
        </w:rPr>
      </w:pPr>
      <w:r w:rsidRPr="009C7E1C">
        <w:rPr>
          <w:noProof/>
          <w:szCs w:val="24"/>
          <w:lang w:eastAsia="en-US"/>
        </w:rPr>
        <w:drawing>
          <wp:inline distT="0" distB="0" distL="0" distR="0">
            <wp:extent cx="5943600" cy="7036770"/>
            <wp:effectExtent l="19050" t="0" r="0" b="0"/>
            <wp:docPr id="1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srcRect/>
                    <a:stretch>
                      <a:fillRect/>
                    </a:stretch>
                  </pic:blipFill>
                  <pic:spPr bwMode="auto">
                    <a:xfrm>
                      <a:off x="0" y="0"/>
                      <a:ext cx="5943600" cy="7036770"/>
                    </a:xfrm>
                    <a:prstGeom prst="rect">
                      <a:avLst/>
                    </a:prstGeom>
                    <a:noFill/>
                    <a:ln w="9525">
                      <a:noFill/>
                      <a:miter lim="800000"/>
                      <a:headEnd/>
                      <a:tailEnd/>
                    </a:ln>
                  </pic:spPr>
                </pic:pic>
              </a:graphicData>
            </a:graphic>
          </wp:inline>
        </w:drawing>
      </w:r>
      <w:r w:rsidR="00B0441B">
        <w:rPr>
          <w:rFonts w:ascii="Times New Roman" w:hAnsi="Times New Roman"/>
          <w:b/>
          <w:sz w:val="24"/>
          <w:szCs w:val="24"/>
        </w:rPr>
        <w:br w:type="page"/>
      </w:r>
    </w:p>
    <w:p w:rsidR="00B0441B" w:rsidRPr="003E62B2" w:rsidRDefault="00B0441B" w:rsidP="00B0441B">
      <w:pPr>
        <w:pStyle w:val="ListParagraph"/>
        <w:ind w:left="0"/>
        <w:rPr>
          <w:rFonts w:ascii="Times New Roman" w:hAnsi="Times New Roman"/>
          <w:b/>
          <w:sz w:val="24"/>
          <w:szCs w:val="24"/>
        </w:rPr>
      </w:pPr>
      <w:r>
        <w:rPr>
          <w:rFonts w:ascii="Times New Roman" w:hAnsi="Times New Roman"/>
          <w:b/>
          <w:sz w:val="24"/>
          <w:szCs w:val="24"/>
        </w:rPr>
        <w:lastRenderedPageBreak/>
        <w:t>Scenario 2</w:t>
      </w:r>
      <w:r w:rsidRPr="003E62B2">
        <w:rPr>
          <w:rFonts w:ascii="Times New Roman" w:hAnsi="Times New Roman"/>
          <w:b/>
          <w:sz w:val="24"/>
          <w:szCs w:val="24"/>
        </w:rPr>
        <w:t xml:space="preserve"> Revenues by Top Ten Industries</w:t>
      </w:r>
      <w:r>
        <w:rPr>
          <w:rFonts w:ascii="Times New Roman" w:hAnsi="Times New Roman"/>
          <w:b/>
          <w:sz w:val="24"/>
          <w:szCs w:val="24"/>
        </w:rPr>
        <w:t xml:space="preserve"> (2</w:t>
      </w:r>
      <w:r w:rsidRPr="003E62B2">
        <w:rPr>
          <w:rFonts w:ascii="Times New Roman" w:hAnsi="Times New Roman"/>
          <w:b/>
          <w:sz w:val="24"/>
          <w:szCs w:val="24"/>
        </w:rPr>
        <w:t>/2)</w:t>
      </w:r>
    </w:p>
    <w:p w:rsidR="00B0441B" w:rsidRDefault="00B0441B" w:rsidP="00B0441B">
      <w:pPr>
        <w:pStyle w:val="ListParagraph"/>
        <w:ind w:left="0"/>
        <w:rPr>
          <w:rFonts w:ascii="Times New Roman" w:hAnsi="Times New Roman"/>
          <w:b/>
          <w:sz w:val="24"/>
          <w:szCs w:val="24"/>
        </w:rPr>
      </w:pPr>
    </w:p>
    <w:p w:rsidR="00B0441B" w:rsidRPr="00955ADA" w:rsidRDefault="009C7E1C" w:rsidP="00EE4F9F">
      <w:pPr>
        <w:pStyle w:val="ListParagraph"/>
        <w:ind w:left="0"/>
        <w:jc w:val="center"/>
        <w:rPr>
          <w:rFonts w:ascii="Times New Roman" w:hAnsi="Times New Roman"/>
          <w:b/>
          <w:sz w:val="24"/>
          <w:szCs w:val="24"/>
        </w:rPr>
      </w:pPr>
      <w:r w:rsidRPr="009C7E1C">
        <w:rPr>
          <w:noProof/>
          <w:szCs w:val="24"/>
          <w:lang w:eastAsia="en-US"/>
        </w:rPr>
        <w:drawing>
          <wp:inline distT="0" distB="0" distL="0" distR="0">
            <wp:extent cx="5943600" cy="3415920"/>
            <wp:effectExtent l="19050" t="0" r="0" b="0"/>
            <wp:docPr id="1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srcRect/>
                    <a:stretch>
                      <a:fillRect/>
                    </a:stretch>
                  </pic:blipFill>
                  <pic:spPr bwMode="auto">
                    <a:xfrm>
                      <a:off x="0" y="0"/>
                      <a:ext cx="5943600" cy="3415920"/>
                    </a:xfrm>
                    <a:prstGeom prst="rect">
                      <a:avLst/>
                    </a:prstGeom>
                    <a:noFill/>
                    <a:ln w="9525">
                      <a:noFill/>
                      <a:miter lim="800000"/>
                      <a:headEnd/>
                      <a:tailEnd/>
                    </a:ln>
                  </pic:spPr>
                </pic:pic>
              </a:graphicData>
            </a:graphic>
          </wp:inline>
        </w:drawing>
      </w:r>
    </w:p>
    <w:p w:rsidR="00B0441B" w:rsidRDefault="00B0441B" w:rsidP="00B0441B">
      <w:pPr>
        <w:rPr>
          <w:rFonts w:ascii="Times New Roman" w:hAnsi="Times New Roman"/>
          <w:sz w:val="24"/>
          <w:szCs w:val="24"/>
        </w:rPr>
      </w:pPr>
      <w:r>
        <w:rPr>
          <w:rFonts w:ascii="Times New Roman" w:hAnsi="Times New Roman"/>
          <w:sz w:val="24"/>
          <w:szCs w:val="24"/>
        </w:rPr>
        <w:br w:type="page"/>
      </w:r>
    </w:p>
    <w:p w:rsidR="00B0441B" w:rsidRDefault="00B0441B" w:rsidP="00487714">
      <w:pPr>
        <w:pStyle w:val="ListParagraph"/>
        <w:ind w:left="0"/>
        <w:rPr>
          <w:noProof/>
          <w:szCs w:val="24"/>
          <w:lang w:eastAsia="en-US"/>
        </w:rPr>
      </w:pPr>
      <w:r w:rsidRPr="003E62B2">
        <w:rPr>
          <w:rFonts w:ascii="Times New Roman" w:hAnsi="Times New Roman"/>
          <w:b/>
          <w:sz w:val="24"/>
          <w:szCs w:val="24"/>
        </w:rPr>
        <w:lastRenderedPageBreak/>
        <w:t>Scenario 3 Revenues by Top Ten Industries (1/2)</w:t>
      </w:r>
    </w:p>
    <w:p w:rsidR="00487714" w:rsidRDefault="009C7E1C">
      <w:pPr>
        <w:spacing w:after="0" w:line="240" w:lineRule="auto"/>
        <w:rPr>
          <w:rFonts w:ascii="Times New Roman" w:hAnsi="Times New Roman"/>
          <w:b/>
          <w:sz w:val="24"/>
          <w:szCs w:val="24"/>
        </w:rPr>
      </w:pPr>
      <w:r w:rsidRPr="009C7E1C">
        <w:rPr>
          <w:noProof/>
          <w:szCs w:val="24"/>
          <w:lang w:eastAsia="en-US"/>
        </w:rPr>
        <w:drawing>
          <wp:inline distT="0" distB="0" distL="0" distR="0">
            <wp:extent cx="5943600" cy="6617636"/>
            <wp:effectExtent l="19050" t="0" r="0" b="0"/>
            <wp:docPr id="1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srcRect/>
                    <a:stretch>
                      <a:fillRect/>
                    </a:stretch>
                  </pic:blipFill>
                  <pic:spPr bwMode="auto">
                    <a:xfrm>
                      <a:off x="0" y="0"/>
                      <a:ext cx="5943600" cy="6617636"/>
                    </a:xfrm>
                    <a:prstGeom prst="rect">
                      <a:avLst/>
                    </a:prstGeom>
                    <a:noFill/>
                    <a:ln w="9525">
                      <a:noFill/>
                      <a:miter lim="800000"/>
                      <a:headEnd/>
                      <a:tailEnd/>
                    </a:ln>
                  </pic:spPr>
                </pic:pic>
              </a:graphicData>
            </a:graphic>
          </wp:inline>
        </w:drawing>
      </w:r>
      <w:r w:rsidR="00487714">
        <w:rPr>
          <w:rFonts w:ascii="Times New Roman" w:hAnsi="Times New Roman"/>
          <w:b/>
          <w:sz w:val="24"/>
          <w:szCs w:val="24"/>
        </w:rPr>
        <w:br w:type="page"/>
      </w:r>
    </w:p>
    <w:p w:rsidR="00B0441B" w:rsidRDefault="00B0441B" w:rsidP="00B0441B">
      <w:pPr>
        <w:pStyle w:val="ListParagraph"/>
        <w:ind w:left="0"/>
        <w:rPr>
          <w:rFonts w:ascii="Times New Roman" w:hAnsi="Times New Roman"/>
          <w:b/>
          <w:sz w:val="24"/>
          <w:szCs w:val="24"/>
        </w:rPr>
      </w:pPr>
      <w:r w:rsidRPr="003E62B2">
        <w:rPr>
          <w:rFonts w:ascii="Times New Roman" w:hAnsi="Times New Roman"/>
          <w:b/>
          <w:sz w:val="24"/>
          <w:szCs w:val="24"/>
        </w:rPr>
        <w:lastRenderedPageBreak/>
        <w:t>Scenario 3 Revenues by Top Ten Industries (</w:t>
      </w:r>
      <w:r>
        <w:rPr>
          <w:rFonts w:ascii="Times New Roman" w:hAnsi="Times New Roman"/>
          <w:b/>
          <w:sz w:val="24"/>
          <w:szCs w:val="24"/>
        </w:rPr>
        <w:t>2</w:t>
      </w:r>
      <w:r w:rsidRPr="003E62B2">
        <w:rPr>
          <w:rFonts w:ascii="Times New Roman" w:hAnsi="Times New Roman"/>
          <w:b/>
          <w:sz w:val="24"/>
          <w:szCs w:val="24"/>
        </w:rPr>
        <w:t>/2)</w:t>
      </w:r>
    </w:p>
    <w:p w:rsidR="003851C8" w:rsidRPr="003E62B2" w:rsidRDefault="003851C8" w:rsidP="00B0441B">
      <w:pPr>
        <w:pStyle w:val="ListParagraph"/>
        <w:ind w:left="0"/>
        <w:rPr>
          <w:rFonts w:ascii="Times New Roman" w:hAnsi="Times New Roman"/>
          <w:b/>
          <w:sz w:val="24"/>
          <w:szCs w:val="24"/>
        </w:rPr>
      </w:pPr>
    </w:p>
    <w:p w:rsidR="00B0441B" w:rsidRPr="003E62B2" w:rsidRDefault="009C7E1C" w:rsidP="00B0441B">
      <w:pPr>
        <w:pStyle w:val="ListParagraph"/>
        <w:ind w:left="0"/>
        <w:rPr>
          <w:rFonts w:ascii="Times New Roman" w:hAnsi="Times New Roman"/>
          <w:sz w:val="24"/>
          <w:szCs w:val="24"/>
        </w:rPr>
      </w:pPr>
      <w:r w:rsidRPr="009C7E1C">
        <w:rPr>
          <w:noProof/>
          <w:szCs w:val="24"/>
          <w:lang w:eastAsia="en-US"/>
        </w:rPr>
        <w:drawing>
          <wp:inline distT="0" distB="0" distL="0" distR="0">
            <wp:extent cx="5943600" cy="3214101"/>
            <wp:effectExtent l="19050" t="0" r="0" b="0"/>
            <wp:docPr id="1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srcRect/>
                    <a:stretch>
                      <a:fillRect/>
                    </a:stretch>
                  </pic:blipFill>
                  <pic:spPr bwMode="auto">
                    <a:xfrm>
                      <a:off x="0" y="0"/>
                      <a:ext cx="5943600" cy="3214101"/>
                    </a:xfrm>
                    <a:prstGeom prst="rect">
                      <a:avLst/>
                    </a:prstGeom>
                    <a:noFill/>
                    <a:ln w="9525">
                      <a:noFill/>
                      <a:miter lim="800000"/>
                      <a:headEnd/>
                      <a:tailEnd/>
                    </a:ln>
                  </pic:spPr>
                </pic:pic>
              </a:graphicData>
            </a:graphic>
          </wp:inline>
        </w:drawing>
      </w:r>
    </w:p>
    <w:p w:rsidR="00B0441B" w:rsidRDefault="00B0441B" w:rsidP="00B0441B">
      <w:pPr>
        <w:rPr>
          <w:rFonts w:ascii="Times New Roman" w:hAnsi="Times New Roman"/>
          <w:b/>
          <w:sz w:val="24"/>
          <w:szCs w:val="24"/>
        </w:rPr>
      </w:pPr>
      <w:r>
        <w:rPr>
          <w:rFonts w:ascii="Times New Roman" w:hAnsi="Times New Roman"/>
          <w:b/>
          <w:sz w:val="24"/>
          <w:szCs w:val="24"/>
        </w:rPr>
        <w:br w:type="page"/>
      </w:r>
    </w:p>
    <w:p w:rsidR="00B0441B" w:rsidRDefault="00B0441B" w:rsidP="00B0441B">
      <w:pPr>
        <w:pStyle w:val="ListParagraph"/>
        <w:ind w:left="0"/>
        <w:rPr>
          <w:rFonts w:ascii="Times New Roman" w:hAnsi="Times New Roman"/>
          <w:b/>
          <w:sz w:val="24"/>
          <w:szCs w:val="24"/>
        </w:rPr>
      </w:pPr>
      <w:r>
        <w:rPr>
          <w:rFonts w:ascii="Times New Roman" w:hAnsi="Times New Roman"/>
          <w:b/>
          <w:sz w:val="24"/>
          <w:szCs w:val="24"/>
        </w:rPr>
        <w:lastRenderedPageBreak/>
        <w:t xml:space="preserve">Scenario 4 Revenues </w:t>
      </w:r>
      <w:r w:rsidRPr="003E62B2">
        <w:rPr>
          <w:rFonts w:ascii="Times New Roman" w:hAnsi="Times New Roman"/>
          <w:b/>
          <w:sz w:val="24"/>
          <w:szCs w:val="24"/>
        </w:rPr>
        <w:t>by Top Ten Industries (</w:t>
      </w:r>
      <w:r>
        <w:rPr>
          <w:rFonts w:ascii="Times New Roman" w:hAnsi="Times New Roman"/>
          <w:b/>
          <w:sz w:val="24"/>
          <w:szCs w:val="24"/>
        </w:rPr>
        <w:t>1</w:t>
      </w:r>
      <w:r w:rsidRPr="003E62B2">
        <w:rPr>
          <w:rFonts w:ascii="Times New Roman" w:hAnsi="Times New Roman"/>
          <w:b/>
          <w:sz w:val="24"/>
          <w:szCs w:val="24"/>
        </w:rPr>
        <w:t>/2)</w:t>
      </w:r>
    </w:p>
    <w:p w:rsidR="00487714" w:rsidRDefault="009C7E1C">
      <w:pPr>
        <w:spacing w:after="0" w:line="240" w:lineRule="auto"/>
        <w:rPr>
          <w:rFonts w:ascii="Times New Roman" w:hAnsi="Times New Roman"/>
          <w:b/>
          <w:sz w:val="24"/>
          <w:szCs w:val="24"/>
        </w:rPr>
      </w:pPr>
      <w:r w:rsidRPr="009C7E1C">
        <w:rPr>
          <w:noProof/>
          <w:szCs w:val="24"/>
          <w:lang w:eastAsia="en-US"/>
        </w:rPr>
        <w:drawing>
          <wp:inline distT="0" distB="0" distL="0" distR="0">
            <wp:extent cx="5943600" cy="6617636"/>
            <wp:effectExtent l="19050" t="0" r="0" b="0"/>
            <wp:docPr id="1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srcRect/>
                    <a:stretch>
                      <a:fillRect/>
                    </a:stretch>
                  </pic:blipFill>
                  <pic:spPr bwMode="auto">
                    <a:xfrm>
                      <a:off x="0" y="0"/>
                      <a:ext cx="5943600" cy="6617636"/>
                    </a:xfrm>
                    <a:prstGeom prst="rect">
                      <a:avLst/>
                    </a:prstGeom>
                    <a:noFill/>
                    <a:ln w="9525">
                      <a:noFill/>
                      <a:miter lim="800000"/>
                      <a:headEnd/>
                      <a:tailEnd/>
                    </a:ln>
                  </pic:spPr>
                </pic:pic>
              </a:graphicData>
            </a:graphic>
          </wp:inline>
        </w:drawing>
      </w:r>
      <w:r w:rsidR="00487714">
        <w:rPr>
          <w:rFonts w:ascii="Times New Roman" w:hAnsi="Times New Roman"/>
          <w:b/>
          <w:sz w:val="24"/>
          <w:szCs w:val="24"/>
        </w:rPr>
        <w:br w:type="page"/>
      </w:r>
    </w:p>
    <w:p w:rsidR="00B0441B" w:rsidRDefault="00B0441B" w:rsidP="004675A6">
      <w:pPr>
        <w:spacing w:after="0" w:line="240" w:lineRule="auto"/>
        <w:rPr>
          <w:rFonts w:ascii="Times New Roman" w:hAnsi="Times New Roman"/>
          <w:b/>
          <w:sz w:val="24"/>
          <w:szCs w:val="24"/>
        </w:rPr>
      </w:pPr>
      <w:r>
        <w:rPr>
          <w:rFonts w:ascii="Times New Roman" w:hAnsi="Times New Roman"/>
          <w:b/>
          <w:sz w:val="24"/>
          <w:szCs w:val="24"/>
        </w:rPr>
        <w:lastRenderedPageBreak/>
        <w:t xml:space="preserve">Scenario 4 Revenues </w:t>
      </w:r>
      <w:r w:rsidRPr="003E62B2">
        <w:rPr>
          <w:rFonts w:ascii="Times New Roman" w:hAnsi="Times New Roman"/>
          <w:b/>
          <w:sz w:val="24"/>
          <w:szCs w:val="24"/>
        </w:rPr>
        <w:t>by Top Ten Industries (</w:t>
      </w:r>
      <w:r>
        <w:rPr>
          <w:rFonts w:ascii="Times New Roman" w:hAnsi="Times New Roman"/>
          <w:b/>
          <w:sz w:val="24"/>
          <w:szCs w:val="24"/>
        </w:rPr>
        <w:t>2</w:t>
      </w:r>
      <w:r w:rsidRPr="003E62B2">
        <w:rPr>
          <w:rFonts w:ascii="Times New Roman" w:hAnsi="Times New Roman"/>
          <w:b/>
          <w:sz w:val="24"/>
          <w:szCs w:val="24"/>
        </w:rPr>
        <w:t>/2)</w:t>
      </w:r>
    </w:p>
    <w:p w:rsidR="00B0441B" w:rsidRDefault="00B0441B" w:rsidP="00B0441B">
      <w:pPr>
        <w:pStyle w:val="ListParagraph"/>
        <w:ind w:left="0"/>
        <w:rPr>
          <w:rFonts w:ascii="Times New Roman" w:hAnsi="Times New Roman"/>
          <w:b/>
          <w:sz w:val="24"/>
          <w:szCs w:val="24"/>
        </w:rPr>
      </w:pPr>
    </w:p>
    <w:p w:rsidR="00B0441B" w:rsidRDefault="009C7E1C" w:rsidP="00487714">
      <w:pPr>
        <w:pStyle w:val="ListParagraph"/>
        <w:ind w:left="0"/>
        <w:jc w:val="center"/>
        <w:rPr>
          <w:rFonts w:ascii="Times New Roman" w:hAnsi="Times New Roman"/>
          <w:b/>
          <w:sz w:val="24"/>
          <w:szCs w:val="24"/>
        </w:rPr>
      </w:pPr>
      <w:r w:rsidRPr="009C7E1C">
        <w:rPr>
          <w:noProof/>
          <w:szCs w:val="24"/>
          <w:lang w:eastAsia="en-US"/>
        </w:rPr>
        <w:drawing>
          <wp:inline distT="0" distB="0" distL="0" distR="0">
            <wp:extent cx="5943600" cy="3214101"/>
            <wp:effectExtent l="19050" t="0" r="0" b="0"/>
            <wp:docPr id="1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srcRect/>
                    <a:stretch>
                      <a:fillRect/>
                    </a:stretch>
                  </pic:blipFill>
                  <pic:spPr bwMode="auto">
                    <a:xfrm>
                      <a:off x="0" y="0"/>
                      <a:ext cx="5943600" cy="3214101"/>
                    </a:xfrm>
                    <a:prstGeom prst="rect">
                      <a:avLst/>
                    </a:prstGeom>
                    <a:noFill/>
                    <a:ln w="9525">
                      <a:noFill/>
                      <a:miter lim="800000"/>
                      <a:headEnd/>
                      <a:tailEnd/>
                    </a:ln>
                  </pic:spPr>
                </pic:pic>
              </a:graphicData>
            </a:graphic>
          </wp:inline>
        </w:drawing>
      </w:r>
    </w:p>
    <w:p w:rsidR="00B0441B" w:rsidRDefault="00B0441B" w:rsidP="00B0441B">
      <w:pPr>
        <w:pStyle w:val="ListParagraph"/>
        <w:ind w:left="0"/>
        <w:rPr>
          <w:rFonts w:ascii="Times New Roman" w:hAnsi="Times New Roman"/>
          <w:b/>
          <w:sz w:val="24"/>
          <w:szCs w:val="24"/>
        </w:rPr>
      </w:pPr>
    </w:p>
    <w:p w:rsidR="00B0441B" w:rsidRDefault="00B0441B" w:rsidP="00B0441B">
      <w:pPr>
        <w:rPr>
          <w:rFonts w:ascii="Times New Roman" w:hAnsi="Times New Roman"/>
          <w:b/>
          <w:sz w:val="24"/>
          <w:szCs w:val="24"/>
        </w:rPr>
      </w:pPr>
      <w:r>
        <w:rPr>
          <w:rFonts w:ascii="Times New Roman" w:hAnsi="Times New Roman"/>
          <w:b/>
          <w:sz w:val="24"/>
          <w:szCs w:val="24"/>
        </w:rPr>
        <w:br w:type="page"/>
      </w:r>
    </w:p>
    <w:p w:rsidR="004675A6" w:rsidRDefault="00B0441B" w:rsidP="00EE4F9F">
      <w:pPr>
        <w:pStyle w:val="ListParagraph"/>
        <w:ind w:left="0"/>
        <w:rPr>
          <w:noProof/>
          <w:szCs w:val="24"/>
          <w:lang w:eastAsia="en-US"/>
        </w:rPr>
      </w:pPr>
      <w:r>
        <w:rPr>
          <w:rFonts w:ascii="Times New Roman" w:hAnsi="Times New Roman"/>
          <w:b/>
          <w:sz w:val="24"/>
          <w:szCs w:val="24"/>
        </w:rPr>
        <w:lastRenderedPageBreak/>
        <w:t xml:space="preserve">Scenario 5 Revenues </w:t>
      </w:r>
      <w:r w:rsidRPr="003E62B2">
        <w:rPr>
          <w:rFonts w:ascii="Times New Roman" w:hAnsi="Times New Roman"/>
          <w:b/>
          <w:sz w:val="24"/>
          <w:szCs w:val="24"/>
        </w:rPr>
        <w:t>by Top Ten Industries (</w:t>
      </w:r>
      <w:r>
        <w:rPr>
          <w:rFonts w:ascii="Times New Roman" w:hAnsi="Times New Roman"/>
          <w:b/>
          <w:sz w:val="24"/>
          <w:szCs w:val="24"/>
        </w:rPr>
        <w:t>1</w:t>
      </w:r>
      <w:r w:rsidRPr="003E62B2">
        <w:rPr>
          <w:rFonts w:ascii="Times New Roman" w:hAnsi="Times New Roman"/>
          <w:b/>
          <w:sz w:val="24"/>
          <w:szCs w:val="24"/>
        </w:rPr>
        <w:t>/2)</w:t>
      </w:r>
    </w:p>
    <w:p w:rsidR="00487714" w:rsidRDefault="009C7E1C" w:rsidP="00487714">
      <w:pPr>
        <w:spacing w:after="0" w:line="240" w:lineRule="auto"/>
        <w:jc w:val="center"/>
        <w:rPr>
          <w:noProof/>
          <w:szCs w:val="24"/>
          <w:lang w:eastAsia="en-US"/>
        </w:rPr>
      </w:pPr>
      <w:r w:rsidRPr="009C7E1C">
        <w:rPr>
          <w:noProof/>
          <w:szCs w:val="24"/>
          <w:lang w:eastAsia="en-US"/>
        </w:rPr>
        <w:drawing>
          <wp:inline distT="0" distB="0" distL="0" distR="0">
            <wp:extent cx="5943600" cy="6639034"/>
            <wp:effectExtent l="19050" t="0" r="0" b="0"/>
            <wp:docPr id="1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srcRect/>
                    <a:stretch>
                      <a:fillRect/>
                    </a:stretch>
                  </pic:blipFill>
                  <pic:spPr bwMode="auto">
                    <a:xfrm>
                      <a:off x="0" y="0"/>
                      <a:ext cx="5943600" cy="6639034"/>
                    </a:xfrm>
                    <a:prstGeom prst="rect">
                      <a:avLst/>
                    </a:prstGeom>
                    <a:noFill/>
                    <a:ln w="9525">
                      <a:noFill/>
                      <a:miter lim="800000"/>
                      <a:headEnd/>
                      <a:tailEnd/>
                    </a:ln>
                  </pic:spPr>
                </pic:pic>
              </a:graphicData>
            </a:graphic>
          </wp:inline>
        </w:drawing>
      </w:r>
      <w:r w:rsidR="00487714">
        <w:rPr>
          <w:noProof/>
          <w:szCs w:val="24"/>
          <w:lang w:eastAsia="en-US"/>
        </w:rPr>
        <w:br w:type="page"/>
      </w:r>
    </w:p>
    <w:p w:rsidR="00B0441B" w:rsidRDefault="00B0441B" w:rsidP="00B0441B">
      <w:pPr>
        <w:pStyle w:val="ListParagraph"/>
        <w:ind w:left="0"/>
        <w:rPr>
          <w:rFonts w:ascii="Times New Roman" w:hAnsi="Times New Roman"/>
          <w:b/>
          <w:sz w:val="24"/>
          <w:szCs w:val="24"/>
        </w:rPr>
      </w:pPr>
      <w:r>
        <w:rPr>
          <w:rFonts w:ascii="Times New Roman" w:hAnsi="Times New Roman"/>
          <w:b/>
          <w:sz w:val="24"/>
          <w:szCs w:val="24"/>
        </w:rPr>
        <w:lastRenderedPageBreak/>
        <w:t xml:space="preserve">Scenario 5 Revenues </w:t>
      </w:r>
      <w:r w:rsidRPr="003E62B2">
        <w:rPr>
          <w:rFonts w:ascii="Times New Roman" w:hAnsi="Times New Roman"/>
          <w:b/>
          <w:sz w:val="24"/>
          <w:szCs w:val="24"/>
        </w:rPr>
        <w:t>by Top Ten Industries (</w:t>
      </w:r>
      <w:r>
        <w:rPr>
          <w:rFonts w:ascii="Times New Roman" w:hAnsi="Times New Roman"/>
          <w:b/>
          <w:sz w:val="24"/>
          <w:szCs w:val="24"/>
        </w:rPr>
        <w:t>2</w:t>
      </w:r>
      <w:r w:rsidRPr="003E62B2">
        <w:rPr>
          <w:rFonts w:ascii="Times New Roman" w:hAnsi="Times New Roman"/>
          <w:b/>
          <w:sz w:val="24"/>
          <w:szCs w:val="24"/>
        </w:rPr>
        <w:t>/2)</w:t>
      </w:r>
    </w:p>
    <w:p w:rsidR="00B0441B" w:rsidRDefault="009C7E1C" w:rsidP="00B0441B">
      <w:pPr>
        <w:pStyle w:val="ListParagraph"/>
        <w:ind w:left="0"/>
        <w:rPr>
          <w:rFonts w:ascii="Times New Roman" w:hAnsi="Times New Roman"/>
          <w:b/>
          <w:sz w:val="24"/>
          <w:szCs w:val="24"/>
        </w:rPr>
      </w:pPr>
      <w:r w:rsidRPr="009C7E1C">
        <w:rPr>
          <w:noProof/>
          <w:szCs w:val="24"/>
          <w:lang w:eastAsia="en-US"/>
        </w:rPr>
        <w:drawing>
          <wp:inline distT="0" distB="0" distL="0" distR="0">
            <wp:extent cx="5943600" cy="3224799"/>
            <wp:effectExtent l="19050" t="0" r="0" b="0"/>
            <wp:docPr id="1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srcRect/>
                    <a:stretch>
                      <a:fillRect/>
                    </a:stretch>
                  </pic:blipFill>
                  <pic:spPr bwMode="auto">
                    <a:xfrm>
                      <a:off x="0" y="0"/>
                      <a:ext cx="5943600" cy="3224799"/>
                    </a:xfrm>
                    <a:prstGeom prst="rect">
                      <a:avLst/>
                    </a:prstGeom>
                    <a:noFill/>
                    <a:ln w="9525">
                      <a:noFill/>
                      <a:miter lim="800000"/>
                      <a:headEnd/>
                      <a:tailEnd/>
                    </a:ln>
                  </pic:spPr>
                </pic:pic>
              </a:graphicData>
            </a:graphic>
          </wp:inline>
        </w:drawing>
      </w:r>
    </w:p>
    <w:p w:rsidR="004675A6" w:rsidRDefault="004675A6" w:rsidP="00EE4F9F">
      <w:pPr>
        <w:pStyle w:val="ListParagraph"/>
        <w:ind w:left="0"/>
        <w:jc w:val="center"/>
        <w:rPr>
          <w:rFonts w:ascii="Times New Roman" w:hAnsi="Times New Roman"/>
          <w:b/>
          <w:sz w:val="24"/>
          <w:szCs w:val="24"/>
        </w:rPr>
      </w:pPr>
    </w:p>
    <w:p w:rsidR="00B0441B" w:rsidRDefault="00B0441B" w:rsidP="00B0441B">
      <w:pPr>
        <w:pStyle w:val="ListParagraph"/>
        <w:ind w:left="0"/>
        <w:rPr>
          <w:rFonts w:ascii="Times New Roman" w:hAnsi="Times New Roman"/>
          <w:b/>
          <w:sz w:val="24"/>
          <w:szCs w:val="24"/>
        </w:rPr>
      </w:pPr>
    </w:p>
    <w:p w:rsidR="00B0441B" w:rsidRPr="003E62B2" w:rsidRDefault="00B0441B" w:rsidP="00B0441B">
      <w:pPr>
        <w:pStyle w:val="ListParagraph"/>
        <w:ind w:left="0"/>
        <w:rPr>
          <w:rFonts w:ascii="Times New Roman" w:hAnsi="Times New Roman"/>
          <w:b/>
          <w:sz w:val="24"/>
          <w:szCs w:val="24"/>
        </w:rPr>
      </w:pPr>
    </w:p>
    <w:p w:rsidR="00B0441B" w:rsidRDefault="00B0441B" w:rsidP="00B0441B">
      <w:pPr>
        <w:spacing w:after="240"/>
        <w:rPr>
          <w:rFonts w:ascii="Times New Roman" w:hAnsi="Times New Roman"/>
          <w:sz w:val="24"/>
          <w:szCs w:val="24"/>
        </w:rPr>
      </w:pPr>
    </w:p>
    <w:p w:rsidR="002B4955" w:rsidRDefault="002B4955">
      <w:pPr>
        <w:spacing w:after="0" w:line="240" w:lineRule="auto"/>
        <w:rPr>
          <w:rFonts w:ascii="Times New Roman" w:hAnsi="Times New Roman"/>
          <w:sz w:val="24"/>
          <w:szCs w:val="24"/>
        </w:rPr>
      </w:pPr>
      <w:r>
        <w:rPr>
          <w:rFonts w:ascii="Times New Roman" w:hAnsi="Times New Roman"/>
          <w:sz w:val="24"/>
          <w:szCs w:val="24"/>
        </w:rPr>
        <w:br w:type="page"/>
      </w:r>
    </w:p>
    <w:p w:rsidR="002B4955" w:rsidRDefault="002B4955" w:rsidP="002B4955">
      <w:pPr>
        <w:spacing w:after="240"/>
        <w:rPr>
          <w:rFonts w:ascii="Times New Roman" w:hAnsi="Times New Roman"/>
          <w:b/>
          <w:color w:val="548DD4" w:themeColor="text2" w:themeTint="99"/>
          <w:sz w:val="28"/>
          <w:szCs w:val="24"/>
        </w:rPr>
      </w:pPr>
      <w:r w:rsidRPr="002B4955">
        <w:rPr>
          <w:rFonts w:ascii="Times New Roman" w:hAnsi="Times New Roman"/>
          <w:b/>
          <w:color w:val="548DD4" w:themeColor="text2" w:themeTint="99"/>
          <w:sz w:val="28"/>
          <w:szCs w:val="24"/>
        </w:rPr>
        <w:lastRenderedPageBreak/>
        <w:t>Tax Revenues</w:t>
      </w:r>
    </w:p>
    <w:p w:rsidR="00C75BCC" w:rsidRPr="00C75BCC" w:rsidRDefault="00C75BCC" w:rsidP="00C75BCC">
      <w:pPr>
        <w:pStyle w:val="ListParagraph"/>
        <w:ind w:left="0"/>
        <w:rPr>
          <w:rFonts w:ascii="Times New Roman" w:hAnsi="Times New Roman"/>
          <w:b/>
          <w:color w:val="548DD4" w:themeColor="text2" w:themeTint="99"/>
          <w:sz w:val="24"/>
          <w:szCs w:val="24"/>
        </w:rPr>
      </w:pPr>
      <w:r w:rsidRPr="00C75BCC">
        <w:rPr>
          <w:rFonts w:ascii="Times New Roman" w:hAnsi="Times New Roman"/>
          <w:sz w:val="24"/>
          <w:szCs w:val="24"/>
        </w:rPr>
        <w:t>Tax revenues across state, local and federal entities</w:t>
      </w:r>
      <w:r>
        <w:rPr>
          <w:rFonts w:ascii="Times New Roman" w:hAnsi="Times New Roman"/>
          <w:sz w:val="24"/>
          <w:szCs w:val="24"/>
        </w:rPr>
        <w:t xml:space="preserve"> are found in the chart below</w:t>
      </w:r>
      <w:r w:rsidRPr="00C75BCC">
        <w:rPr>
          <w:rFonts w:ascii="Times New Roman" w:hAnsi="Times New Roman"/>
          <w:sz w:val="24"/>
          <w:szCs w:val="24"/>
        </w:rPr>
        <w:t>.</w:t>
      </w:r>
      <w:r>
        <w:rPr>
          <w:rFonts w:ascii="Times New Roman" w:hAnsi="Times New Roman"/>
          <w:b/>
          <w:color w:val="548DD4" w:themeColor="text2" w:themeTint="99"/>
          <w:sz w:val="24"/>
          <w:szCs w:val="24"/>
        </w:rPr>
        <w:t xml:space="preserve"> </w:t>
      </w:r>
    </w:p>
    <w:p w:rsidR="002B4955" w:rsidRDefault="002B4955" w:rsidP="00B0441B">
      <w:pPr>
        <w:spacing w:after="0" w:line="240" w:lineRule="auto"/>
        <w:rPr>
          <w:rFonts w:ascii="Times New Roman" w:hAnsi="Times New Roman"/>
          <w:sz w:val="24"/>
          <w:szCs w:val="24"/>
        </w:rPr>
      </w:pPr>
    </w:p>
    <w:p w:rsidR="00B0441B" w:rsidRDefault="00B37C38" w:rsidP="00B0441B">
      <w:pPr>
        <w:spacing w:after="0" w:line="240" w:lineRule="auto"/>
        <w:rPr>
          <w:rFonts w:ascii="Times New Roman" w:hAnsi="Times New Roman"/>
          <w:sz w:val="24"/>
          <w:szCs w:val="24"/>
        </w:rPr>
      </w:pPr>
      <w:r w:rsidRPr="00B37C38">
        <w:rPr>
          <w:noProof/>
          <w:szCs w:val="24"/>
          <w:lang w:eastAsia="en-US"/>
        </w:rPr>
        <w:drawing>
          <wp:inline distT="0" distB="0" distL="0" distR="0">
            <wp:extent cx="5943600" cy="2779532"/>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5943600" cy="2779532"/>
                    </a:xfrm>
                    <a:prstGeom prst="rect">
                      <a:avLst/>
                    </a:prstGeom>
                    <a:noFill/>
                    <a:ln w="9525">
                      <a:noFill/>
                      <a:miter lim="800000"/>
                      <a:headEnd/>
                      <a:tailEnd/>
                    </a:ln>
                  </pic:spPr>
                </pic:pic>
              </a:graphicData>
            </a:graphic>
          </wp:inline>
        </w:drawing>
      </w:r>
      <w:r w:rsidR="00B0441B">
        <w:rPr>
          <w:rFonts w:ascii="Times New Roman" w:hAnsi="Times New Roman"/>
          <w:sz w:val="24"/>
          <w:szCs w:val="24"/>
        </w:rPr>
        <w:br w:type="page"/>
      </w:r>
    </w:p>
    <w:p w:rsidR="00C80065" w:rsidRDefault="00C80065" w:rsidP="001C04A8">
      <w:pPr>
        <w:spacing w:after="0" w:line="240" w:lineRule="auto"/>
        <w:rPr>
          <w:rFonts w:ascii="Times New Roman" w:hAnsi="Times New Roman"/>
          <w:b/>
          <w:color w:val="548DD4" w:themeColor="text2" w:themeTint="99"/>
          <w:sz w:val="28"/>
          <w:szCs w:val="24"/>
        </w:rPr>
      </w:pPr>
      <w:r>
        <w:rPr>
          <w:rFonts w:ascii="Times New Roman" w:hAnsi="Times New Roman"/>
          <w:b/>
          <w:color w:val="548DD4" w:themeColor="text2" w:themeTint="99"/>
          <w:sz w:val="28"/>
          <w:szCs w:val="24"/>
        </w:rPr>
        <w:lastRenderedPageBreak/>
        <w:t>Appendix</w:t>
      </w:r>
      <w:r w:rsidR="00083298">
        <w:rPr>
          <w:rFonts w:ascii="Times New Roman" w:hAnsi="Times New Roman"/>
          <w:b/>
          <w:color w:val="548DD4" w:themeColor="text2" w:themeTint="99"/>
          <w:sz w:val="28"/>
          <w:szCs w:val="24"/>
        </w:rPr>
        <w:t xml:space="preserve"> I</w:t>
      </w:r>
    </w:p>
    <w:p w:rsidR="00657E82" w:rsidRPr="00657E82" w:rsidRDefault="00657E82" w:rsidP="00C80065">
      <w:pPr>
        <w:spacing w:after="240"/>
        <w:rPr>
          <w:rFonts w:ascii="Times New Roman" w:hAnsi="Times New Roman"/>
          <w:sz w:val="24"/>
          <w:szCs w:val="24"/>
        </w:rPr>
      </w:pPr>
      <w:r>
        <w:rPr>
          <w:rFonts w:ascii="Times New Roman" w:hAnsi="Times New Roman"/>
          <w:sz w:val="24"/>
          <w:szCs w:val="24"/>
        </w:rPr>
        <w:t>Public reports participation and take-up rate assumption summary chart.</w:t>
      </w:r>
    </w:p>
    <w:p w:rsidR="00F94C79" w:rsidRDefault="00377A67" w:rsidP="00F94C79">
      <w:pPr>
        <w:spacing w:after="240"/>
        <w:jc w:val="center"/>
        <w:rPr>
          <w:rFonts w:ascii="Times New Roman" w:hAnsi="Times New Roman"/>
          <w:sz w:val="24"/>
          <w:szCs w:val="24"/>
        </w:rPr>
      </w:pPr>
      <w:r w:rsidRPr="00377A67">
        <w:rPr>
          <w:noProof/>
          <w:szCs w:val="24"/>
          <w:lang w:eastAsia="en-US"/>
        </w:rPr>
        <w:drawing>
          <wp:inline distT="0" distB="0" distL="0" distR="0">
            <wp:extent cx="4531360" cy="3289300"/>
            <wp:effectExtent l="19050" t="0" r="254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srcRect/>
                    <a:stretch>
                      <a:fillRect/>
                    </a:stretch>
                  </pic:blipFill>
                  <pic:spPr bwMode="auto">
                    <a:xfrm>
                      <a:off x="0" y="0"/>
                      <a:ext cx="4531360" cy="3289300"/>
                    </a:xfrm>
                    <a:prstGeom prst="rect">
                      <a:avLst/>
                    </a:prstGeom>
                    <a:noFill/>
                    <a:ln w="9525">
                      <a:noFill/>
                      <a:miter lim="800000"/>
                      <a:headEnd/>
                      <a:tailEnd/>
                    </a:ln>
                  </pic:spPr>
                </pic:pic>
              </a:graphicData>
            </a:graphic>
          </wp:inline>
        </w:drawing>
      </w:r>
    </w:p>
    <w:p w:rsidR="005E1C05" w:rsidRDefault="00A14B57" w:rsidP="00A14B57">
      <w:pPr>
        <w:spacing w:after="240"/>
        <w:rPr>
          <w:rFonts w:ascii="Times New Roman" w:hAnsi="Times New Roman"/>
          <w:sz w:val="24"/>
          <w:szCs w:val="24"/>
        </w:rPr>
      </w:pPr>
      <w:r>
        <w:rPr>
          <w:rFonts w:ascii="Times New Roman" w:hAnsi="Times New Roman"/>
          <w:sz w:val="24"/>
          <w:szCs w:val="24"/>
        </w:rPr>
        <w:t>The following data comes from the 2010 annual Medicaid report.</w:t>
      </w:r>
    </w:p>
    <w:p w:rsidR="005E1C05" w:rsidRDefault="00377A67" w:rsidP="00F94C79">
      <w:pPr>
        <w:spacing w:after="240"/>
        <w:jc w:val="center"/>
        <w:rPr>
          <w:rFonts w:ascii="Times New Roman" w:hAnsi="Times New Roman"/>
          <w:sz w:val="24"/>
          <w:szCs w:val="24"/>
        </w:rPr>
      </w:pPr>
      <w:r w:rsidRPr="00377A67">
        <w:rPr>
          <w:noProof/>
          <w:szCs w:val="24"/>
          <w:lang w:eastAsia="en-US"/>
        </w:rPr>
        <w:drawing>
          <wp:inline distT="0" distB="0" distL="0" distR="0">
            <wp:extent cx="3056890" cy="805180"/>
            <wp:effectExtent l="19050" t="0" r="0"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srcRect/>
                    <a:stretch>
                      <a:fillRect/>
                    </a:stretch>
                  </pic:blipFill>
                  <pic:spPr bwMode="auto">
                    <a:xfrm>
                      <a:off x="0" y="0"/>
                      <a:ext cx="3056890" cy="805180"/>
                    </a:xfrm>
                    <a:prstGeom prst="rect">
                      <a:avLst/>
                    </a:prstGeom>
                    <a:noFill/>
                    <a:ln w="9525">
                      <a:noFill/>
                      <a:miter lim="800000"/>
                      <a:headEnd/>
                      <a:tailEnd/>
                    </a:ln>
                  </pic:spPr>
                </pic:pic>
              </a:graphicData>
            </a:graphic>
          </wp:inline>
        </w:drawing>
      </w:r>
    </w:p>
    <w:p w:rsidR="00350E01" w:rsidRDefault="00350E01" w:rsidP="00F94C79">
      <w:pPr>
        <w:spacing w:after="240"/>
        <w:jc w:val="center"/>
        <w:rPr>
          <w:rFonts w:ascii="Times New Roman" w:hAnsi="Times New Roman"/>
          <w:sz w:val="24"/>
          <w:szCs w:val="24"/>
        </w:rPr>
      </w:pPr>
    </w:p>
    <w:p w:rsidR="00350E01" w:rsidRDefault="00350E01" w:rsidP="00350E01">
      <w:pPr>
        <w:rPr>
          <w:rFonts w:ascii="Times New Roman" w:hAnsi="Times New Roman"/>
          <w:sz w:val="24"/>
          <w:szCs w:val="24"/>
        </w:rPr>
      </w:pPr>
    </w:p>
    <w:p w:rsidR="00377A67" w:rsidRDefault="00377A67" w:rsidP="00350E01">
      <w:pPr>
        <w:rPr>
          <w:rFonts w:ascii="Times New Roman" w:hAnsi="Times New Roman"/>
          <w:sz w:val="24"/>
          <w:szCs w:val="24"/>
        </w:rPr>
      </w:pPr>
    </w:p>
    <w:p w:rsidR="00377A67" w:rsidRPr="00350E01" w:rsidRDefault="00377A67" w:rsidP="00350E01">
      <w:pPr>
        <w:rPr>
          <w:rFonts w:ascii="Times New Roman" w:hAnsi="Times New Roman"/>
          <w:sz w:val="24"/>
          <w:szCs w:val="24"/>
        </w:rPr>
      </w:pPr>
    </w:p>
    <w:p w:rsidR="00350E01" w:rsidRPr="00350E01" w:rsidRDefault="00350E01" w:rsidP="00350E01">
      <w:pPr>
        <w:rPr>
          <w:rFonts w:ascii="Times New Roman" w:hAnsi="Times New Roman"/>
          <w:sz w:val="24"/>
          <w:szCs w:val="24"/>
        </w:rPr>
      </w:pPr>
    </w:p>
    <w:p w:rsidR="00350E01" w:rsidRDefault="00350E01" w:rsidP="00350E01">
      <w:pPr>
        <w:rPr>
          <w:rFonts w:ascii="Times New Roman" w:hAnsi="Times New Roman"/>
          <w:sz w:val="24"/>
          <w:szCs w:val="24"/>
        </w:rPr>
      </w:pPr>
    </w:p>
    <w:p w:rsidR="00F94C79" w:rsidRPr="005818D1" w:rsidRDefault="00350E01" w:rsidP="005818D1">
      <w:pPr>
        <w:spacing w:after="240"/>
        <w:rPr>
          <w:rFonts w:ascii="Times New Roman" w:hAnsi="Times New Roman"/>
          <w:b/>
          <w:color w:val="548DD4" w:themeColor="text2" w:themeTint="99"/>
          <w:sz w:val="28"/>
          <w:szCs w:val="24"/>
        </w:rPr>
      </w:pPr>
      <w:r w:rsidRPr="005818D1">
        <w:rPr>
          <w:rFonts w:ascii="Times New Roman" w:hAnsi="Times New Roman"/>
          <w:b/>
          <w:color w:val="548DD4" w:themeColor="text2" w:themeTint="99"/>
          <w:sz w:val="28"/>
          <w:szCs w:val="24"/>
        </w:rPr>
        <w:lastRenderedPageBreak/>
        <w:t>Appendix II</w:t>
      </w:r>
    </w:p>
    <w:p w:rsidR="00350E01" w:rsidRPr="00181A60" w:rsidRDefault="00350E01" w:rsidP="00350E01">
      <w:pPr>
        <w:spacing w:after="240"/>
        <w:rPr>
          <w:rFonts w:ascii="Times New Roman" w:hAnsi="Times New Roman"/>
          <w:sz w:val="24"/>
          <w:szCs w:val="24"/>
        </w:rPr>
      </w:pPr>
      <w:r w:rsidRPr="00883A0D">
        <w:rPr>
          <w:rFonts w:ascii="Times New Roman" w:hAnsi="Times New Roman"/>
          <w:sz w:val="24"/>
          <w:szCs w:val="24"/>
        </w:rPr>
        <w:t>This section models the MAGI-equivalent income standards for the following eligibility groups: children, adults with dependent children, and adults without dependent children. MAGI standards do not apply to the elderly and disabled.  Non-MAGI groups include the medically needy, 65 and older, long-term care users, Medicare cost sharing, blind, disabled, and SSI/QMB populations.</w:t>
      </w:r>
    </w:p>
    <w:p w:rsidR="00350E01" w:rsidRPr="00181A60" w:rsidRDefault="00350E01" w:rsidP="00350E01">
      <w:pPr>
        <w:spacing w:after="240"/>
        <w:rPr>
          <w:rFonts w:ascii="Times New Roman" w:hAnsi="Times New Roman"/>
          <w:b/>
          <w:i/>
          <w:sz w:val="24"/>
          <w:szCs w:val="24"/>
        </w:rPr>
      </w:pPr>
      <w:r>
        <w:rPr>
          <w:rFonts w:ascii="Times New Roman" w:hAnsi="Times New Roman"/>
          <w:b/>
          <w:i/>
          <w:sz w:val="24"/>
          <w:szCs w:val="24"/>
        </w:rPr>
        <w:t>Background, Data, Methodology, and Assumptions</w:t>
      </w:r>
    </w:p>
    <w:p w:rsidR="00350E01" w:rsidRPr="00883A0D" w:rsidRDefault="00350E01" w:rsidP="00350E01">
      <w:pPr>
        <w:spacing w:line="360" w:lineRule="auto"/>
        <w:jc w:val="both"/>
        <w:rPr>
          <w:rFonts w:ascii="Times New Roman" w:hAnsi="Times New Roman"/>
          <w:sz w:val="24"/>
          <w:szCs w:val="24"/>
          <w:u w:val="single"/>
        </w:rPr>
      </w:pPr>
      <w:r w:rsidRPr="00883A0D">
        <w:rPr>
          <w:rFonts w:ascii="Times New Roman" w:hAnsi="Times New Roman"/>
          <w:sz w:val="24"/>
          <w:szCs w:val="24"/>
          <w:u w:val="single"/>
        </w:rPr>
        <w:t>MAGI Conversion</w:t>
      </w:r>
    </w:p>
    <w:p w:rsidR="00350E01" w:rsidRPr="00883A0D" w:rsidRDefault="00350E01" w:rsidP="00350E01">
      <w:pPr>
        <w:spacing w:after="240"/>
        <w:jc w:val="both"/>
        <w:rPr>
          <w:rFonts w:ascii="Times New Roman" w:hAnsi="Times New Roman"/>
          <w:sz w:val="24"/>
          <w:szCs w:val="24"/>
        </w:rPr>
      </w:pPr>
      <w:r w:rsidRPr="00883A0D">
        <w:rPr>
          <w:rFonts w:ascii="Times New Roman" w:hAnsi="Times New Roman"/>
          <w:sz w:val="24"/>
          <w:szCs w:val="24"/>
        </w:rPr>
        <w:t>According to a SFY2012 Medicaid annual report, there are 397,813 distinct enrollees in Utah’s Medicaid program</w:t>
      </w:r>
      <w:r w:rsidRPr="00883A0D">
        <w:rPr>
          <w:rStyle w:val="FootnoteReference"/>
          <w:rFonts w:ascii="Times New Roman" w:hAnsi="Times New Roman"/>
          <w:sz w:val="24"/>
          <w:szCs w:val="24"/>
        </w:rPr>
        <w:footnoteReference w:id="14"/>
      </w:r>
      <w:r w:rsidRPr="00883A0D">
        <w:rPr>
          <w:rFonts w:ascii="Times New Roman" w:hAnsi="Times New Roman"/>
          <w:sz w:val="24"/>
          <w:szCs w:val="24"/>
        </w:rPr>
        <w:t>.  The report provides the percentages of Medicaid eligibles in each category of assistance. The following chart replicates the report’s data and also provides a count of Medicaid eligibles by category of assistance:</w:t>
      </w:r>
    </w:p>
    <w:p w:rsidR="00C65532" w:rsidRDefault="00C65532" w:rsidP="00C65532">
      <w:pPr>
        <w:jc w:val="center"/>
        <w:rPr>
          <w:rFonts w:ascii="Times New Roman" w:hAnsi="Times New Roman"/>
          <w:i/>
        </w:rPr>
      </w:pPr>
      <w:r w:rsidRPr="00C65532">
        <w:rPr>
          <w:noProof/>
          <w:lang w:eastAsia="en-US"/>
        </w:rPr>
        <w:drawing>
          <wp:inline distT="0" distB="0" distL="0" distR="0">
            <wp:extent cx="4726305" cy="2458085"/>
            <wp:effectExtent l="19050" t="0" r="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srcRect/>
                    <a:stretch>
                      <a:fillRect/>
                    </a:stretch>
                  </pic:blipFill>
                  <pic:spPr bwMode="auto">
                    <a:xfrm>
                      <a:off x="0" y="0"/>
                      <a:ext cx="4726305" cy="2458085"/>
                    </a:xfrm>
                    <a:prstGeom prst="rect">
                      <a:avLst/>
                    </a:prstGeom>
                    <a:noFill/>
                    <a:ln w="9525">
                      <a:noFill/>
                      <a:miter lim="800000"/>
                      <a:headEnd/>
                      <a:tailEnd/>
                    </a:ln>
                  </pic:spPr>
                </pic:pic>
              </a:graphicData>
            </a:graphic>
          </wp:inline>
        </w:drawing>
      </w:r>
    </w:p>
    <w:p w:rsidR="00350E01" w:rsidRPr="00E976A2" w:rsidRDefault="00350E01" w:rsidP="00350E01">
      <w:pPr>
        <w:jc w:val="both"/>
        <w:rPr>
          <w:rFonts w:ascii="Times New Roman" w:hAnsi="Times New Roman"/>
          <w:i/>
        </w:rPr>
      </w:pPr>
      <w:r w:rsidRPr="00E976A2">
        <w:rPr>
          <w:rFonts w:ascii="Times New Roman" w:hAnsi="Times New Roman"/>
          <w:i/>
        </w:rPr>
        <w:t xml:space="preserve">* The </w:t>
      </w:r>
      <w:r w:rsidRPr="00E976A2">
        <w:rPr>
          <w:rFonts w:ascii="Times New Roman" w:hAnsi="Times New Roman"/>
          <w:i/>
          <w:color w:val="000000"/>
        </w:rPr>
        <w:t xml:space="preserve">40-count difference between the 397,813 persons listed in </w:t>
      </w:r>
      <w:r w:rsidR="00011AE7">
        <w:rPr>
          <w:rFonts w:ascii="Times New Roman" w:hAnsi="Times New Roman"/>
          <w:i/>
          <w:color w:val="000000"/>
        </w:rPr>
        <w:t xml:space="preserve">the </w:t>
      </w:r>
      <w:r w:rsidRPr="00E976A2">
        <w:rPr>
          <w:rFonts w:ascii="Times New Roman" w:hAnsi="Times New Roman"/>
          <w:i/>
          <w:color w:val="000000"/>
        </w:rPr>
        <w:t>Utah Medicaid report and the 397,853 persons listed in table above is due to rounding.</w:t>
      </w:r>
    </w:p>
    <w:p w:rsidR="00350E01" w:rsidRPr="00AD1414" w:rsidRDefault="00350E01" w:rsidP="00350E01">
      <w:pPr>
        <w:jc w:val="both"/>
        <w:rPr>
          <w:rFonts w:ascii="Times New Roman" w:hAnsi="Times New Roman"/>
          <w:sz w:val="24"/>
          <w:szCs w:val="24"/>
        </w:rPr>
      </w:pPr>
      <w:r w:rsidRPr="00AD1414">
        <w:rPr>
          <w:rFonts w:ascii="Times New Roman" w:hAnsi="Times New Roman"/>
          <w:sz w:val="24"/>
          <w:szCs w:val="24"/>
        </w:rPr>
        <w:t xml:space="preserve">Current income eligibility requirements for children, parents, pregnant women, and adults on PCN will be subject to MAGI conversion standards.  </w:t>
      </w:r>
      <w:r>
        <w:rPr>
          <w:rFonts w:ascii="Times New Roman" w:hAnsi="Times New Roman"/>
          <w:sz w:val="24"/>
          <w:szCs w:val="24"/>
        </w:rPr>
        <w:t xml:space="preserve">This population </w:t>
      </w:r>
      <w:r w:rsidRPr="00AD1414">
        <w:rPr>
          <w:rFonts w:ascii="Times New Roman" w:hAnsi="Times New Roman"/>
          <w:sz w:val="24"/>
          <w:szCs w:val="24"/>
        </w:rPr>
        <w:t xml:space="preserve">represents approximately 84% of Utah’s </w:t>
      </w:r>
      <w:r>
        <w:rPr>
          <w:rFonts w:ascii="Times New Roman" w:hAnsi="Times New Roman"/>
          <w:sz w:val="24"/>
          <w:szCs w:val="24"/>
        </w:rPr>
        <w:t xml:space="preserve">SFY 2012 </w:t>
      </w:r>
      <w:r w:rsidRPr="00AD1414">
        <w:rPr>
          <w:rFonts w:ascii="Times New Roman" w:hAnsi="Times New Roman"/>
          <w:sz w:val="24"/>
          <w:szCs w:val="24"/>
        </w:rPr>
        <w:t>Medicaid population.</w:t>
      </w:r>
    </w:p>
    <w:p w:rsidR="00350E01" w:rsidRPr="00AD1414" w:rsidRDefault="00350E01" w:rsidP="00350E01">
      <w:pPr>
        <w:jc w:val="both"/>
        <w:rPr>
          <w:rFonts w:ascii="Times New Roman" w:hAnsi="Times New Roman"/>
          <w:sz w:val="24"/>
          <w:szCs w:val="24"/>
          <w:u w:val="single"/>
        </w:rPr>
      </w:pPr>
      <w:r w:rsidRPr="00AD1414">
        <w:rPr>
          <w:rFonts w:ascii="Times New Roman" w:hAnsi="Times New Roman"/>
          <w:sz w:val="24"/>
          <w:szCs w:val="24"/>
          <w:u w:val="single"/>
        </w:rPr>
        <w:lastRenderedPageBreak/>
        <w:t>Income Disregards</w:t>
      </w:r>
    </w:p>
    <w:p w:rsidR="00350E01" w:rsidRPr="00AD1414" w:rsidRDefault="00350E01" w:rsidP="00350E01">
      <w:pPr>
        <w:jc w:val="both"/>
        <w:rPr>
          <w:rFonts w:ascii="Times New Roman" w:hAnsi="Times New Roman"/>
          <w:sz w:val="24"/>
          <w:szCs w:val="24"/>
        </w:rPr>
      </w:pPr>
      <w:r w:rsidRPr="00AD1414">
        <w:rPr>
          <w:rFonts w:ascii="Times New Roman" w:hAnsi="Times New Roman"/>
          <w:sz w:val="24"/>
          <w:szCs w:val="24"/>
        </w:rPr>
        <w:t xml:space="preserve">The clients found in the eight categories of assistance listed </w:t>
      </w:r>
      <w:r w:rsidR="00011AE7">
        <w:rPr>
          <w:rFonts w:ascii="Times New Roman" w:hAnsi="Times New Roman"/>
          <w:sz w:val="24"/>
          <w:szCs w:val="24"/>
        </w:rPr>
        <w:t>above</w:t>
      </w:r>
      <w:r w:rsidR="00011AE7" w:rsidRPr="00AD1414">
        <w:rPr>
          <w:rFonts w:ascii="Times New Roman" w:hAnsi="Times New Roman"/>
          <w:sz w:val="24"/>
          <w:szCs w:val="24"/>
        </w:rPr>
        <w:t xml:space="preserve"> </w:t>
      </w:r>
      <w:r w:rsidRPr="00AD1414">
        <w:rPr>
          <w:rFonts w:ascii="Times New Roman" w:hAnsi="Times New Roman"/>
          <w:sz w:val="24"/>
          <w:szCs w:val="24"/>
        </w:rPr>
        <w:t>belong to one of several Medicaid programs.  Programs have different income level maximums, spend-down amounts, income disregards, and asset limits.  The following table lists all of Utah’s Medicaid programs that use percentages of federal poverty level to determine income eligibility. The table has been separated into MAGI and non-MAGI eligible programs.  Programs subject to MAGI conversion are also divided between those that currently do and do not allow income or asset disregards</w:t>
      </w:r>
      <w:r w:rsidRPr="00AD1414">
        <w:rPr>
          <w:rStyle w:val="FootnoteReference"/>
          <w:rFonts w:ascii="Times New Roman" w:hAnsi="Times New Roman"/>
          <w:sz w:val="24"/>
          <w:szCs w:val="24"/>
        </w:rPr>
        <w:footnoteReference w:id="15"/>
      </w:r>
      <w:r w:rsidRPr="00AD1414">
        <w:rPr>
          <w:rFonts w:ascii="Times New Roman" w:hAnsi="Times New Roman"/>
          <w:sz w:val="24"/>
          <w:szCs w:val="24"/>
        </w:rPr>
        <w:t>:</w:t>
      </w:r>
    </w:p>
    <w:tbl>
      <w:tblPr>
        <w:tblStyle w:val="TableGrid"/>
        <w:tblW w:w="0" w:type="auto"/>
        <w:jc w:val="center"/>
        <w:tblLayout w:type="fixed"/>
        <w:tblLook w:val="04A0"/>
      </w:tblPr>
      <w:tblGrid>
        <w:gridCol w:w="2952"/>
        <w:gridCol w:w="2953"/>
        <w:gridCol w:w="2951"/>
      </w:tblGrid>
      <w:tr w:rsidR="00350E01" w:rsidRPr="00E976A2" w:rsidTr="00C65532">
        <w:trPr>
          <w:trHeight w:val="719"/>
          <w:jc w:val="center"/>
        </w:trPr>
        <w:tc>
          <w:tcPr>
            <w:tcW w:w="2952" w:type="dxa"/>
            <w:vMerge w:val="restart"/>
            <w:shd w:val="clear" w:color="auto" w:fill="003366"/>
          </w:tcPr>
          <w:p w:rsidR="00C65532" w:rsidRDefault="00350E01" w:rsidP="0042047D">
            <w:pPr>
              <w:jc w:val="center"/>
              <w:rPr>
                <w:rFonts w:ascii="Times New Roman" w:hAnsi="Times New Roman"/>
              </w:rPr>
            </w:pPr>
            <w:r>
              <w:rPr>
                <w:rFonts w:ascii="Times New Roman" w:hAnsi="Times New Roman"/>
              </w:rPr>
              <w:br w:type="page"/>
            </w:r>
          </w:p>
          <w:p w:rsidR="00350E01" w:rsidRPr="00131A18" w:rsidRDefault="00350E01" w:rsidP="0042047D">
            <w:pPr>
              <w:jc w:val="center"/>
              <w:rPr>
                <w:rFonts w:ascii="Times New Roman" w:hAnsi="Times New Roman"/>
                <w:b/>
              </w:rPr>
            </w:pPr>
            <w:r w:rsidRPr="00131A18">
              <w:rPr>
                <w:rFonts w:ascii="Times New Roman" w:hAnsi="Times New Roman"/>
                <w:b/>
              </w:rPr>
              <w:t>Programs not subject to MAGI conversion</w:t>
            </w:r>
          </w:p>
        </w:tc>
        <w:tc>
          <w:tcPr>
            <w:tcW w:w="5904" w:type="dxa"/>
            <w:gridSpan w:val="2"/>
            <w:shd w:val="clear" w:color="auto" w:fill="003366"/>
          </w:tcPr>
          <w:p w:rsidR="00C65532" w:rsidRDefault="00C65532" w:rsidP="0042047D">
            <w:pPr>
              <w:jc w:val="center"/>
              <w:rPr>
                <w:rFonts w:ascii="Times New Roman" w:hAnsi="Times New Roman"/>
                <w:b/>
              </w:rPr>
            </w:pPr>
          </w:p>
          <w:p w:rsidR="00350E01" w:rsidRPr="00131A18" w:rsidRDefault="00350E01" w:rsidP="0042047D">
            <w:pPr>
              <w:jc w:val="center"/>
              <w:rPr>
                <w:rFonts w:ascii="Times New Roman" w:hAnsi="Times New Roman"/>
                <w:b/>
              </w:rPr>
            </w:pPr>
            <w:r w:rsidRPr="00131A18">
              <w:rPr>
                <w:rFonts w:ascii="Times New Roman" w:hAnsi="Times New Roman"/>
                <w:b/>
              </w:rPr>
              <w:t>Programs subject to MAGI conversion</w:t>
            </w:r>
          </w:p>
        </w:tc>
      </w:tr>
      <w:tr w:rsidR="00350E01" w:rsidRPr="00E976A2" w:rsidTr="00C65532">
        <w:trPr>
          <w:trHeight w:val="539"/>
          <w:jc w:val="center"/>
        </w:trPr>
        <w:tc>
          <w:tcPr>
            <w:tcW w:w="2952" w:type="dxa"/>
            <w:vMerge/>
            <w:shd w:val="clear" w:color="auto" w:fill="003366"/>
          </w:tcPr>
          <w:p w:rsidR="00350E01" w:rsidRPr="00E976A2" w:rsidRDefault="00350E01" w:rsidP="0042047D">
            <w:pPr>
              <w:jc w:val="center"/>
              <w:rPr>
                <w:rFonts w:ascii="Times New Roman" w:hAnsi="Times New Roman"/>
              </w:rPr>
            </w:pPr>
          </w:p>
        </w:tc>
        <w:tc>
          <w:tcPr>
            <w:tcW w:w="2953" w:type="dxa"/>
            <w:shd w:val="clear" w:color="auto" w:fill="003366"/>
          </w:tcPr>
          <w:p w:rsidR="00C65532" w:rsidRPr="00C65532" w:rsidRDefault="00C65532" w:rsidP="0042047D">
            <w:pPr>
              <w:jc w:val="center"/>
              <w:rPr>
                <w:rFonts w:ascii="Times New Roman" w:hAnsi="Times New Roman"/>
                <w:b/>
              </w:rPr>
            </w:pPr>
          </w:p>
          <w:p w:rsidR="00350E01" w:rsidRPr="00C65532" w:rsidRDefault="00350E01" w:rsidP="0042047D">
            <w:pPr>
              <w:jc w:val="center"/>
              <w:rPr>
                <w:rFonts w:ascii="Times New Roman" w:hAnsi="Times New Roman"/>
                <w:b/>
              </w:rPr>
            </w:pPr>
            <w:r w:rsidRPr="00C65532">
              <w:rPr>
                <w:rFonts w:ascii="Times New Roman" w:hAnsi="Times New Roman"/>
                <w:b/>
              </w:rPr>
              <w:t>Programs with Disregard</w:t>
            </w:r>
          </w:p>
        </w:tc>
        <w:tc>
          <w:tcPr>
            <w:tcW w:w="2951" w:type="dxa"/>
            <w:shd w:val="clear" w:color="auto" w:fill="003366"/>
          </w:tcPr>
          <w:p w:rsidR="00C65532" w:rsidRDefault="00C65532" w:rsidP="0042047D">
            <w:pPr>
              <w:jc w:val="center"/>
              <w:rPr>
                <w:rFonts w:ascii="Times New Roman" w:hAnsi="Times New Roman"/>
              </w:rPr>
            </w:pPr>
          </w:p>
          <w:p w:rsidR="00350E01" w:rsidRPr="00C65532" w:rsidRDefault="00350E01" w:rsidP="0042047D">
            <w:pPr>
              <w:jc w:val="center"/>
              <w:rPr>
                <w:rFonts w:ascii="Times New Roman" w:hAnsi="Times New Roman"/>
                <w:b/>
              </w:rPr>
            </w:pPr>
            <w:r w:rsidRPr="00C65532">
              <w:rPr>
                <w:rFonts w:ascii="Times New Roman" w:hAnsi="Times New Roman"/>
                <w:b/>
              </w:rPr>
              <w:t>Programs Without Disregard</w:t>
            </w:r>
          </w:p>
        </w:tc>
      </w:tr>
      <w:tr w:rsidR="00350E01" w:rsidRPr="00E976A2" w:rsidTr="0042047D">
        <w:trPr>
          <w:jc w:val="center"/>
        </w:trPr>
        <w:tc>
          <w:tcPr>
            <w:tcW w:w="2952" w:type="dxa"/>
          </w:tcPr>
          <w:p w:rsidR="00C65532" w:rsidRDefault="00C65532" w:rsidP="00C65532">
            <w:pPr>
              <w:pStyle w:val="ListParagraph"/>
              <w:spacing w:after="0"/>
              <w:ind w:left="360"/>
              <w:rPr>
                <w:rFonts w:ascii="Times New Roman" w:hAnsi="Times New Roman"/>
              </w:rPr>
            </w:pPr>
          </w:p>
          <w:p w:rsidR="00350E01" w:rsidRPr="00131A18" w:rsidRDefault="00350E01" w:rsidP="0042047D">
            <w:pPr>
              <w:pStyle w:val="ListParagraph"/>
              <w:numPr>
                <w:ilvl w:val="0"/>
                <w:numId w:val="9"/>
              </w:numPr>
              <w:spacing w:after="0"/>
              <w:rPr>
                <w:rFonts w:ascii="Times New Roman" w:hAnsi="Times New Roman"/>
              </w:rPr>
            </w:pPr>
            <w:r w:rsidRPr="00131A18">
              <w:rPr>
                <w:rFonts w:ascii="Times New Roman" w:hAnsi="Times New Roman"/>
              </w:rPr>
              <w:t>Aged and Disabled</w:t>
            </w:r>
          </w:p>
          <w:p w:rsidR="00350E01" w:rsidRPr="00131A18" w:rsidRDefault="00350E01" w:rsidP="0042047D">
            <w:pPr>
              <w:pStyle w:val="ListParagraph"/>
              <w:numPr>
                <w:ilvl w:val="0"/>
                <w:numId w:val="9"/>
              </w:numPr>
              <w:spacing w:after="0"/>
              <w:rPr>
                <w:rFonts w:ascii="Times New Roman" w:hAnsi="Times New Roman"/>
              </w:rPr>
            </w:pPr>
            <w:r w:rsidRPr="00131A18">
              <w:rPr>
                <w:rFonts w:ascii="Times New Roman" w:hAnsi="Times New Roman"/>
              </w:rPr>
              <w:t>Qualified Medicare Beneficiaries Program (QMB)</w:t>
            </w:r>
          </w:p>
          <w:p w:rsidR="00350E01" w:rsidRPr="00131A18" w:rsidRDefault="00350E01" w:rsidP="0042047D">
            <w:pPr>
              <w:pStyle w:val="ListParagraph"/>
              <w:numPr>
                <w:ilvl w:val="0"/>
                <w:numId w:val="9"/>
              </w:numPr>
              <w:spacing w:after="0"/>
              <w:rPr>
                <w:rFonts w:ascii="Times New Roman" w:hAnsi="Times New Roman"/>
              </w:rPr>
            </w:pPr>
            <w:r w:rsidRPr="00131A18">
              <w:rPr>
                <w:rFonts w:ascii="Times New Roman" w:hAnsi="Times New Roman"/>
              </w:rPr>
              <w:t>Specified Low-Income Medicare Beneficiaries (SLMB)</w:t>
            </w:r>
          </w:p>
          <w:p w:rsidR="00350E01" w:rsidRPr="00131A18" w:rsidRDefault="00350E01" w:rsidP="0042047D">
            <w:pPr>
              <w:pStyle w:val="ListParagraph"/>
              <w:numPr>
                <w:ilvl w:val="0"/>
                <w:numId w:val="9"/>
              </w:numPr>
              <w:spacing w:after="0"/>
              <w:rPr>
                <w:rFonts w:ascii="Times New Roman" w:hAnsi="Times New Roman"/>
              </w:rPr>
            </w:pPr>
            <w:r w:rsidRPr="00131A18">
              <w:rPr>
                <w:rFonts w:ascii="Times New Roman" w:hAnsi="Times New Roman"/>
              </w:rPr>
              <w:t>Qualifying Individuals (QI)</w:t>
            </w:r>
          </w:p>
          <w:p w:rsidR="00350E01" w:rsidRPr="00131A18" w:rsidRDefault="00350E01" w:rsidP="0042047D">
            <w:pPr>
              <w:pStyle w:val="ListParagraph"/>
              <w:numPr>
                <w:ilvl w:val="0"/>
                <w:numId w:val="9"/>
              </w:numPr>
              <w:spacing w:after="0"/>
              <w:rPr>
                <w:rFonts w:ascii="Times New Roman" w:hAnsi="Times New Roman"/>
              </w:rPr>
            </w:pPr>
            <w:r w:rsidRPr="00131A18">
              <w:rPr>
                <w:rFonts w:ascii="Times New Roman" w:hAnsi="Times New Roman"/>
              </w:rPr>
              <w:t>Qualified Disabled Working Individual (QDWI)</w:t>
            </w:r>
          </w:p>
          <w:p w:rsidR="00350E01" w:rsidRPr="00131A18" w:rsidRDefault="00350E01" w:rsidP="0042047D">
            <w:pPr>
              <w:pStyle w:val="ListParagraph"/>
              <w:numPr>
                <w:ilvl w:val="0"/>
                <w:numId w:val="9"/>
              </w:numPr>
              <w:spacing w:after="0"/>
              <w:rPr>
                <w:rFonts w:ascii="Times New Roman" w:hAnsi="Times New Roman"/>
              </w:rPr>
            </w:pPr>
            <w:r w:rsidRPr="00131A18">
              <w:rPr>
                <w:rFonts w:ascii="Times New Roman" w:hAnsi="Times New Roman"/>
              </w:rPr>
              <w:t>Medicaid Work Incentive</w:t>
            </w:r>
          </w:p>
        </w:tc>
        <w:tc>
          <w:tcPr>
            <w:tcW w:w="2953" w:type="dxa"/>
          </w:tcPr>
          <w:p w:rsidR="00C65532" w:rsidRDefault="00C65532" w:rsidP="00C65532">
            <w:pPr>
              <w:pStyle w:val="ListParagraph"/>
              <w:spacing w:after="0" w:line="240" w:lineRule="auto"/>
              <w:ind w:left="360"/>
              <w:rPr>
                <w:rFonts w:ascii="Times New Roman" w:hAnsi="Times New Roman"/>
              </w:rPr>
            </w:pPr>
          </w:p>
          <w:p w:rsidR="00350E01" w:rsidRPr="00131A18" w:rsidRDefault="00350E01" w:rsidP="0042047D">
            <w:pPr>
              <w:pStyle w:val="ListParagraph"/>
              <w:numPr>
                <w:ilvl w:val="0"/>
                <w:numId w:val="8"/>
              </w:numPr>
              <w:spacing w:after="0" w:line="240" w:lineRule="auto"/>
              <w:rPr>
                <w:rFonts w:ascii="Times New Roman" w:hAnsi="Times New Roman"/>
              </w:rPr>
            </w:pPr>
            <w:r w:rsidRPr="00131A18">
              <w:rPr>
                <w:rFonts w:ascii="Times New Roman" w:hAnsi="Times New Roman"/>
              </w:rPr>
              <w:t>LIFC 12 month earned incomes disregard</w:t>
            </w:r>
          </w:p>
          <w:p w:rsidR="00350E01" w:rsidRPr="00131A18" w:rsidRDefault="00350E01" w:rsidP="0042047D">
            <w:pPr>
              <w:pStyle w:val="ListParagraph"/>
              <w:numPr>
                <w:ilvl w:val="0"/>
                <w:numId w:val="8"/>
              </w:numPr>
              <w:spacing w:after="0" w:line="240" w:lineRule="auto"/>
              <w:rPr>
                <w:rFonts w:ascii="Times New Roman" w:hAnsi="Times New Roman"/>
              </w:rPr>
            </w:pPr>
            <w:r w:rsidRPr="00131A18">
              <w:rPr>
                <w:rFonts w:ascii="Times New Roman" w:hAnsi="Times New Roman"/>
              </w:rPr>
              <w:t>LIFC transitional during 2</w:t>
            </w:r>
            <w:r w:rsidRPr="00131A18">
              <w:rPr>
                <w:rFonts w:ascii="Times New Roman" w:hAnsi="Times New Roman"/>
                <w:vertAlign w:val="superscript"/>
              </w:rPr>
              <w:t>nd</w:t>
            </w:r>
            <w:r w:rsidRPr="00131A18">
              <w:rPr>
                <w:rFonts w:ascii="Times New Roman" w:hAnsi="Times New Roman"/>
              </w:rPr>
              <w:t xml:space="preserve"> six months</w:t>
            </w:r>
          </w:p>
          <w:p w:rsidR="00350E01" w:rsidRPr="00131A18" w:rsidRDefault="00350E01" w:rsidP="0042047D">
            <w:pPr>
              <w:pStyle w:val="ListParagraph"/>
              <w:numPr>
                <w:ilvl w:val="0"/>
                <w:numId w:val="8"/>
              </w:numPr>
              <w:spacing w:after="0"/>
              <w:rPr>
                <w:rFonts w:ascii="Times New Roman" w:hAnsi="Times New Roman"/>
              </w:rPr>
            </w:pPr>
            <w:r w:rsidRPr="00131A18">
              <w:rPr>
                <w:rFonts w:ascii="Times New Roman" w:hAnsi="Times New Roman"/>
              </w:rPr>
              <w:t>Child 0-5</w:t>
            </w:r>
          </w:p>
          <w:p w:rsidR="00350E01" w:rsidRPr="00131A18" w:rsidRDefault="00350E01" w:rsidP="0042047D">
            <w:pPr>
              <w:pStyle w:val="ListParagraph"/>
              <w:numPr>
                <w:ilvl w:val="0"/>
                <w:numId w:val="8"/>
              </w:numPr>
              <w:spacing w:after="0"/>
              <w:rPr>
                <w:rFonts w:ascii="Times New Roman" w:hAnsi="Times New Roman"/>
              </w:rPr>
            </w:pPr>
            <w:r w:rsidRPr="00131A18">
              <w:rPr>
                <w:rFonts w:ascii="Times New Roman" w:hAnsi="Times New Roman"/>
              </w:rPr>
              <w:t>Child 6-18</w:t>
            </w:r>
          </w:p>
          <w:p w:rsidR="00350E01" w:rsidRPr="00131A18" w:rsidRDefault="00350E01" w:rsidP="0042047D">
            <w:pPr>
              <w:pStyle w:val="ListParagraph"/>
              <w:numPr>
                <w:ilvl w:val="0"/>
                <w:numId w:val="8"/>
              </w:numPr>
              <w:spacing w:after="0"/>
              <w:rPr>
                <w:rFonts w:ascii="Times New Roman" w:hAnsi="Times New Roman"/>
              </w:rPr>
            </w:pPr>
            <w:r w:rsidRPr="00131A18">
              <w:rPr>
                <w:rFonts w:ascii="Times New Roman" w:hAnsi="Times New Roman"/>
              </w:rPr>
              <w:t>Pregnant Women</w:t>
            </w:r>
          </w:p>
        </w:tc>
        <w:tc>
          <w:tcPr>
            <w:tcW w:w="2951" w:type="dxa"/>
          </w:tcPr>
          <w:p w:rsidR="00C65532" w:rsidRDefault="00C65532" w:rsidP="00C65532">
            <w:pPr>
              <w:pStyle w:val="ListParagraph"/>
              <w:spacing w:after="0"/>
              <w:ind w:left="360"/>
              <w:rPr>
                <w:rFonts w:ascii="Times New Roman" w:hAnsi="Times New Roman"/>
              </w:rPr>
            </w:pPr>
          </w:p>
          <w:p w:rsidR="00350E01" w:rsidRPr="00131A18" w:rsidRDefault="00350E01" w:rsidP="0042047D">
            <w:pPr>
              <w:pStyle w:val="ListParagraph"/>
              <w:numPr>
                <w:ilvl w:val="0"/>
                <w:numId w:val="7"/>
              </w:numPr>
              <w:spacing w:after="0"/>
              <w:rPr>
                <w:rFonts w:ascii="Times New Roman" w:hAnsi="Times New Roman"/>
              </w:rPr>
            </w:pPr>
            <w:r w:rsidRPr="00131A18">
              <w:rPr>
                <w:rFonts w:ascii="Times New Roman" w:hAnsi="Times New Roman"/>
              </w:rPr>
              <w:t xml:space="preserve">Primary Care Network (PCN) </w:t>
            </w:r>
          </w:p>
          <w:p w:rsidR="00350E01" w:rsidRPr="00131A18" w:rsidRDefault="00350E01" w:rsidP="0042047D">
            <w:pPr>
              <w:pStyle w:val="ListParagraph"/>
              <w:numPr>
                <w:ilvl w:val="0"/>
                <w:numId w:val="7"/>
              </w:numPr>
              <w:spacing w:after="0"/>
              <w:rPr>
                <w:rFonts w:ascii="Times New Roman" w:hAnsi="Times New Roman"/>
              </w:rPr>
            </w:pPr>
            <w:r w:rsidRPr="00131A18">
              <w:rPr>
                <w:rFonts w:ascii="Times New Roman" w:hAnsi="Times New Roman"/>
              </w:rPr>
              <w:t>CHIP (Plans A-C)</w:t>
            </w:r>
          </w:p>
          <w:p w:rsidR="00350E01" w:rsidRPr="00131A18" w:rsidRDefault="00350E01" w:rsidP="0042047D">
            <w:pPr>
              <w:pStyle w:val="ListParagraph"/>
              <w:numPr>
                <w:ilvl w:val="0"/>
                <w:numId w:val="7"/>
              </w:numPr>
              <w:spacing w:after="0" w:line="240" w:lineRule="auto"/>
              <w:rPr>
                <w:rFonts w:ascii="Times New Roman" w:hAnsi="Times New Roman"/>
              </w:rPr>
            </w:pPr>
            <w:r w:rsidRPr="00131A18">
              <w:rPr>
                <w:rFonts w:ascii="Times New Roman" w:hAnsi="Times New Roman"/>
              </w:rPr>
              <w:t>Utah’s Premium Partnership for Health Insurance (UPP): Kids and Adults</w:t>
            </w:r>
          </w:p>
        </w:tc>
      </w:tr>
    </w:tbl>
    <w:p w:rsidR="00350E01" w:rsidRDefault="00350E01" w:rsidP="00350E01">
      <w:pPr>
        <w:spacing w:line="360" w:lineRule="auto"/>
        <w:jc w:val="both"/>
        <w:rPr>
          <w:rFonts w:ascii="Times New Roman" w:hAnsi="Times New Roman"/>
          <w:b/>
        </w:rPr>
      </w:pPr>
    </w:p>
    <w:p w:rsidR="00350E01" w:rsidRPr="00883A0D" w:rsidRDefault="00350E01" w:rsidP="00350E01">
      <w:pPr>
        <w:spacing w:after="100" w:afterAutospacing="1"/>
        <w:jc w:val="both"/>
        <w:rPr>
          <w:rFonts w:ascii="Times New Roman" w:hAnsi="Times New Roman"/>
          <w:sz w:val="24"/>
          <w:szCs w:val="24"/>
        </w:rPr>
      </w:pPr>
      <w:r w:rsidRPr="00883A0D">
        <w:rPr>
          <w:rFonts w:ascii="Times New Roman" w:hAnsi="Times New Roman"/>
          <w:sz w:val="24"/>
          <w:szCs w:val="24"/>
        </w:rPr>
        <w:t>In Utah, programs that allow disregards usually exclude $30 plus one third of working income when determining eligibility. As part of the MAGI conversion process, all relevant Medicaid programs will be subject to the same disregards.  The next section will describe the conversion calculations necessary for all MAGI-eligible programs.</w:t>
      </w:r>
    </w:p>
    <w:p w:rsidR="00350E01" w:rsidRPr="00883A0D" w:rsidRDefault="00350E01" w:rsidP="00350E01">
      <w:pPr>
        <w:spacing w:after="100" w:afterAutospacing="1"/>
        <w:jc w:val="both"/>
        <w:rPr>
          <w:rFonts w:ascii="Times New Roman" w:hAnsi="Times New Roman"/>
          <w:b/>
          <w:sz w:val="24"/>
          <w:szCs w:val="24"/>
        </w:rPr>
      </w:pPr>
      <w:r w:rsidRPr="00883A0D">
        <w:rPr>
          <w:rFonts w:ascii="Times New Roman" w:hAnsi="Times New Roman"/>
          <w:b/>
          <w:sz w:val="24"/>
          <w:szCs w:val="24"/>
        </w:rPr>
        <w:lastRenderedPageBreak/>
        <w:t>Approaches to MAGI Conversion:</w:t>
      </w:r>
    </w:p>
    <w:p w:rsidR="00350E01" w:rsidRPr="00883A0D" w:rsidRDefault="00350E01" w:rsidP="00350E01">
      <w:pPr>
        <w:spacing w:after="100" w:afterAutospacing="1"/>
        <w:jc w:val="both"/>
        <w:rPr>
          <w:rFonts w:ascii="Times New Roman" w:hAnsi="Times New Roman"/>
          <w:b/>
          <w:sz w:val="24"/>
          <w:szCs w:val="24"/>
        </w:rPr>
      </w:pPr>
      <w:r w:rsidRPr="00883A0D">
        <w:rPr>
          <w:rFonts w:ascii="Times New Roman" w:hAnsi="Times New Roman"/>
          <w:sz w:val="24"/>
          <w:szCs w:val="24"/>
        </w:rPr>
        <w:t xml:space="preserve">By June 2013, all states must have Centers for Medicare </w:t>
      </w:r>
      <w:r>
        <w:rPr>
          <w:rFonts w:ascii="Times New Roman" w:hAnsi="Times New Roman"/>
          <w:sz w:val="24"/>
          <w:szCs w:val="24"/>
        </w:rPr>
        <w:t xml:space="preserve">&amp; </w:t>
      </w:r>
      <w:r w:rsidRPr="00883A0D">
        <w:rPr>
          <w:rFonts w:ascii="Times New Roman" w:hAnsi="Times New Roman"/>
          <w:sz w:val="24"/>
          <w:szCs w:val="24"/>
        </w:rPr>
        <w:t xml:space="preserve">Medicaid Services (CMS) approved MAGI-based eligibility standards.  States have the option of approving one of two conversion methodologies: standardized or state specific. </w:t>
      </w:r>
    </w:p>
    <w:p w:rsidR="00350E01" w:rsidRPr="00883A0D" w:rsidRDefault="00350E01" w:rsidP="00350E01">
      <w:pPr>
        <w:spacing w:after="100" w:afterAutospacing="1"/>
        <w:jc w:val="both"/>
        <w:rPr>
          <w:rFonts w:ascii="Times New Roman" w:hAnsi="Times New Roman"/>
          <w:sz w:val="24"/>
          <w:szCs w:val="24"/>
          <w:u w:val="single"/>
        </w:rPr>
      </w:pPr>
      <w:r w:rsidRPr="00883A0D">
        <w:rPr>
          <w:rFonts w:ascii="Times New Roman" w:hAnsi="Times New Roman"/>
          <w:sz w:val="24"/>
          <w:szCs w:val="24"/>
          <w:u w:val="single"/>
        </w:rPr>
        <w:t>Option 1: Standardized MAGI Conversion Methodology</w:t>
      </w:r>
    </w:p>
    <w:p w:rsidR="00350E01" w:rsidRPr="00883A0D" w:rsidRDefault="00350E01" w:rsidP="00350E01">
      <w:pPr>
        <w:spacing w:after="100" w:afterAutospacing="1"/>
        <w:jc w:val="both"/>
        <w:rPr>
          <w:rFonts w:ascii="Times New Roman" w:hAnsi="Times New Roman"/>
          <w:sz w:val="24"/>
          <w:szCs w:val="24"/>
        </w:rPr>
      </w:pPr>
      <w:r w:rsidRPr="00883A0D">
        <w:rPr>
          <w:rFonts w:ascii="Times New Roman" w:hAnsi="Times New Roman"/>
          <w:sz w:val="24"/>
          <w:szCs w:val="24"/>
        </w:rPr>
        <w:t xml:space="preserve"> CMS will determine the MAGI equivalent standards for each state using national Survey of Income and Program Participation (SIPP) data.  Each eligibility group (adults with dependent children, children, and adults without dependent children) will have a MAGI eligibility standard.  CMS describes this process in two main steps:</w:t>
      </w:r>
    </w:p>
    <w:p w:rsidR="00350E01" w:rsidRPr="00883A0D" w:rsidRDefault="00350E01" w:rsidP="00350E01">
      <w:pPr>
        <w:widowControl w:val="0"/>
        <w:autoSpaceDE w:val="0"/>
        <w:autoSpaceDN w:val="0"/>
        <w:adjustRightInd w:val="0"/>
        <w:spacing w:after="100" w:afterAutospacing="1" w:line="23" w:lineRule="atLeast"/>
        <w:jc w:val="both"/>
        <w:rPr>
          <w:rFonts w:ascii="Times New Roman" w:hAnsi="Times New Roman"/>
          <w:sz w:val="24"/>
          <w:szCs w:val="24"/>
        </w:rPr>
      </w:pPr>
      <w:r w:rsidRPr="00883A0D">
        <w:rPr>
          <w:rFonts w:ascii="Times New Roman" w:hAnsi="Times New Roman"/>
          <w:sz w:val="24"/>
          <w:szCs w:val="24"/>
        </w:rPr>
        <w:t>1) “Calculating the average size of the disregards for people whose net income falls within 25 percentage points of the federal poverty level (FPL) below the net income standard; and</w:t>
      </w:r>
    </w:p>
    <w:p w:rsidR="00350E01" w:rsidRPr="00883A0D" w:rsidRDefault="00350E01" w:rsidP="00350E01">
      <w:pPr>
        <w:widowControl w:val="0"/>
        <w:autoSpaceDE w:val="0"/>
        <w:autoSpaceDN w:val="0"/>
        <w:adjustRightInd w:val="0"/>
        <w:spacing w:after="100" w:afterAutospacing="1" w:line="23" w:lineRule="atLeast"/>
        <w:jc w:val="both"/>
        <w:rPr>
          <w:rFonts w:ascii="Times New Roman" w:hAnsi="Times New Roman"/>
          <w:sz w:val="24"/>
          <w:szCs w:val="24"/>
        </w:rPr>
      </w:pPr>
      <w:r w:rsidRPr="00883A0D">
        <w:rPr>
          <w:rFonts w:ascii="Times New Roman" w:hAnsi="Times New Roman"/>
          <w:sz w:val="24"/>
          <w:szCs w:val="24"/>
        </w:rPr>
        <w:t xml:space="preserve">2) Adding the average disregard amount, expressed as a percentage of the FPL, to the net income eligibility standard, also expressed as a percentage of the FPL.” </w:t>
      </w:r>
      <w:r w:rsidRPr="00883A0D">
        <w:rPr>
          <w:rStyle w:val="FootnoteReference"/>
          <w:rFonts w:ascii="Times New Roman" w:hAnsi="Times New Roman"/>
          <w:sz w:val="24"/>
          <w:szCs w:val="24"/>
        </w:rPr>
        <w:footnoteReference w:id="16"/>
      </w:r>
    </w:p>
    <w:p w:rsidR="00350E01" w:rsidRPr="00883A0D" w:rsidRDefault="00350E01" w:rsidP="00350E01">
      <w:pPr>
        <w:spacing w:line="23" w:lineRule="atLeast"/>
        <w:jc w:val="both"/>
        <w:rPr>
          <w:rFonts w:ascii="Times New Roman" w:hAnsi="Times New Roman"/>
          <w:sz w:val="24"/>
          <w:szCs w:val="24"/>
        </w:rPr>
      </w:pPr>
      <w:r w:rsidRPr="00883A0D">
        <w:rPr>
          <w:rFonts w:ascii="Times New Roman" w:hAnsi="Times New Roman"/>
          <w:sz w:val="24"/>
          <w:szCs w:val="24"/>
        </w:rPr>
        <w:t>States also have the option of using their own data to perform the same standardized MAGI conversion.  The state data must provide enough detail on gross and net income as well as information needed to determine income and asset disregards.  CMS will provide technical assistance to any state that uses its own data</w:t>
      </w:r>
      <w:r w:rsidRPr="00883A0D">
        <w:rPr>
          <w:rStyle w:val="FootnoteReference"/>
          <w:rFonts w:ascii="Times New Roman" w:hAnsi="Times New Roman"/>
          <w:sz w:val="24"/>
          <w:szCs w:val="24"/>
        </w:rPr>
        <w:footnoteReference w:id="17"/>
      </w:r>
      <w:r w:rsidRPr="00883A0D">
        <w:rPr>
          <w:rFonts w:ascii="Times New Roman" w:hAnsi="Times New Roman"/>
          <w:sz w:val="24"/>
          <w:szCs w:val="24"/>
        </w:rPr>
        <w:t>.</w:t>
      </w:r>
    </w:p>
    <w:p w:rsidR="00350E01" w:rsidRPr="00883A0D" w:rsidRDefault="00350E01" w:rsidP="00350E01">
      <w:pPr>
        <w:spacing w:line="360" w:lineRule="auto"/>
        <w:jc w:val="both"/>
        <w:rPr>
          <w:rFonts w:ascii="Times New Roman" w:hAnsi="Times New Roman"/>
          <w:sz w:val="24"/>
          <w:szCs w:val="24"/>
          <w:u w:val="single"/>
        </w:rPr>
      </w:pPr>
      <w:r w:rsidRPr="00883A0D">
        <w:rPr>
          <w:rFonts w:ascii="Times New Roman" w:hAnsi="Times New Roman"/>
          <w:sz w:val="24"/>
          <w:szCs w:val="24"/>
          <w:u w:val="single"/>
        </w:rPr>
        <w:t>Option 2: State Proposal Option</w:t>
      </w:r>
    </w:p>
    <w:p w:rsidR="00350E01" w:rsidRPr="00883A0D" w:rsidRDefault="00350E01" w:rsidP="00B104A9">
      <w:pPr>
        <w:spacing w:line="240" w:lineRule="auto"/>
        <w:jc w:val="both"/>
        <w:rPr>
          <w:rFonts w:ascii="Times New Roman" w:hAnsi="Times New Roman"/>
          <w:sz w:val="24"/>
          <w:szCs w:val="24"/>
        </w:rPr>
      </w:pPr>
      <w:r w:rsidRPr="00883A0D">
        <w:rPr>
          <w:rFonts w:ascii="Times New Roman" w:hAnsi="Times New Roman"/>
          <w:sz w:val="24"/>
          <w:szCs w:val="24"/>
        </w:rPr>
        <w:t>States can also propose and implement their own alternative methodology.  States with unique disregard and income standards may find this option more useful. Examples of such alternative methodologies include:</w:t>
      </w:r>
    </w:p>
    <w:p w:rsidR="00350E01" w:rsidRPr="00883A0D" w:rsidRDefault="00350E01" w:rsidP="00350E01">
      <w:pPr>
        <w:pStyle w:val="ListParagraph"/>
        <w:widowControl w:val="0"/>
        <w:numPr>
          <w:ilvl w:val="0"/>
          <w:numId w:val="6"/>
        </w:numPr>
        <w:tabs>
          <w:tab w:val="left" w:pos="220"/>
          <w:tab w:val="left" w:pos="720"/>
        </w:tabs>
        <w:autoSpaceDE w:val="0"/>
        <w:autoSpaceDN w:val="0"/>
        <w:adjustRightInd w:val="0"/>
        <w:spacing w:after="320" w:line="240" w:lineRule="auto"/>
        <w:jc w:val="both"/>
        <w:rPr>
          <w:rFonts w:ascii="Times New Roman" w:hAnsi="Times New Roman"/>
          <w:sz w:val="24"/>
          <w:szCs w:val="24"/>
        </w:rPr>
      </w:pPr>
      <w:r w:rsidRPr="00883A0D">
        <w:rPr>
          <w:rFonts w:ascii="Times New Roman" w:hAnsi="Times New Roman"/>
          <w:sz w:val="24"/>
          <w:szCs w:val="24"/>
        </w:rPr>
        <w:t xml:space="preserve"> “Adjusting for differences in income counting and household composition rules (if a state adjusts for MAGI income and household composition rules, it must do so using all MAGI rules for all eligibility groups); and</w:t>
      </w:r>
    </w:p>
    <w:p w:rsidR="00350E01" w:rsidRPr="00883A0D" w:rsidRDefault="00350E01" w:rsidP="00350E01">
      <w:pPr>
        <w:pStyle w:val="ListParagraph"/>
        <w:widowControl w:val="0"/>
        <w:tabs>
          <w:tab w:val="left" w:pos="220"/>
          <w:tab w:val="left" w:pos="720"/>
        </w:tabs>
        <w:autoSpaceDE w:val="0"/>
        <w:autoSpaceDN w:val="0"/>
        <w:adjustRightInd w:val="0"/>
        <w:spacing w:after="320"/>
        <w:ind w:left="360"/>
        <w:jc w:val="both"/>
        <w:rPr>
          <w:rFonts w:ascii="Times New Roman" w:hAnsi="Times New Roman"/>
          <w:sz w:val="24"/>
          <w:szCs w:val="24"/>
        </w:rPr>
      </w:pPr>
    </w:p>
    <w:p w:rsidR="00350E01" w:rsidRPr="00883A0D" w:rsidRDefault="00350E01" w:rsidP="00350E01">
      <w:pPr>
        <w:pStyle w:val="ListParagraph"/>
        <w:widowControl w:val="0"/>
        <w:numPr>
          <w:ilvl w:val="0"/>
          <w:numId w:val="6"/>
        </w:numPr>
        <w:tabs>
          <w:tab w:val="left" w:pos="220"/>
          <w:tab w:val="left" w:pos="720"/>
        </w:tabs>
        <w:autoSpaceDE w:val="0"/>
        <w:autoSpaceDN w:val="0"/>
        <w:adjustRightInd w:val="0"/>
        <w:spacing w:after="320" w:line="240" w:lineRule="auto"/>
        <w:jc w:val="both"/>
        <w:rPr>
          <w:rFonts w:ascii="Times New Roman" w:hAnsi="Times New Roman"/>
          <w:sz w:val="24"/>
          <w:szCs w:val="24"/>
        </w:rPr>
      </w:pPr>
      <w:r w:rsidRPr="00883A0D">
        <w:rPr>
          <w:rFonts w:ascii="Times New Roman" w:hAnsi="Times New Roman"/>
          <w:sz w:val="24"/>
          <w:szCs w:val="24"/>
        </w:rPr>
        <w:t xml:space="preserve"> Adopting a different marginal band (25 percentage points) based on its own state specific disregards, data, eligibility standards, and population analysis.” </w:t>
      </w:r>
      <w:r w:rsidRPr="00883A0D">
        <w:rPr>
          <w:rStyle w:val="FootnoteReference"/>
          <w:rFonts w:ascii="Times New Roman" w:hAnsi="Times New Roman"/>
          <w:sz w:val="24"/>
          <w:szCs w:val="24"/>
        </w:rPr>
        <w:footnoteReference w:id="18"/>
      </w:r>
      <w:r w:rsidRPr="00883A0D">
        <w:rPr>
          <w:rFonts w:ascii="Times New Roman" w:hAnsi="Times New Roman"/>
          <w:sz w:val="24"/>
          <w:szCs w:val="24"/>
        </w:rPr>
        <w:t xml:space="preserve"> </w:t>
      </w:r>
    </w:p>
    <w:p w:rsidR="00350E01" w:rsidRDefault="00350E01" w:rsidP="00350E01">
      <w:pPr>
        <w:widowControl w:val="0"/>
        <w:tabs>
          <w:tab w:val="left" w:pos="220"/>
          <w:tab w:val="left" w:pos="720"/>
        </w:tabs>
        <w:autoSpaceDE w:val="0"/>
        <w:autoSpaceDN w:val="0"/>
        <w:adjustRightInd w:val="0"/>
        <w:spacing w:after="0"/>
        <w:jc w:val="both"/>
        <w:rPr>
          <w:rFonts w:ascii="Times New Roman" w:hAnsi="Times New Roman"/>
          <w:sz w:val="24"/>
          <w:szCs w:val="24"/>
        </w:rPr>
      </w:pPr>
      <w:r w:rsidRPr="00883A0D">
        <w:rPr>
          <w:rFonts w:ascii="Times New Roman" w:hAnsi="Times New Roman"/>
          <w:sz w:val="24"/>
          <w:szCs w:val="24"/>
        </w:rPr>
        <w:lastRenderedPageBreak/>
        <w:t>To receive approval, states must provide all of the necessary data to CMS and demonstrate how the proposed methodology will meet the MAGI objectives.</w:t>
      </w:r>
    </w:p>
    <w:p w:rsidR="00350E01" w:rsidRPr="00883A0D" w:rsidRDefault="00350E01" w:rsidP="00350E01">
      <w:pPr>
        <w:widowControl w:val="0"/>
        <w:tabs>
          <w:tab w:val="left" w:pos="220"/>
          <w:tab w:val="left" w:pos="720"/>
        </w:tabs>
        <w:autoSpaceDE w:val="0"/>
        <w:autoSpaceDN w:val="0"/>
        <w:adjustRightInd w:val="0"/>
        <w:spacing w:after="0"/>
        <w:jc w:val="both"/>
        <w:rPr>
          <w:rFonts w:ascii="Times New Roman" w:hAnsi="Times New Roman"/>
          <w:sz w:val="24"/>
          <w:szCs w:val="24"/>
        </w:rPr>
      </w:pPr>
    </w:p>
    <w:p w:rsidR="00350E01" w:rsidRPr="00883A0D" w:rsidRDefault="00350E01" w:rsidP="00350E01">
      <w:pPr>
        <w:spacing w:line="360" w:lineRule="auto"/>
        <w:jc w:val="both"/>
        <w:rPr>
          <w:rFonts w:ascii="Times New Roman" w:hAnsi="Times New Roman"/>
          <w:sz w:val="24"/>
          <w:szCs w:val="24"/>
          <w:u w:val="single"/>
        </w:rPr>
      </w:pPr>
      <w:r w:rsidRPr="00883A0D">
        <w:rPr>
          <w:rFonts w:ascii="Times New Roman" w:hAnsi="Times New Roman"/>
          <w:sz w:val="24"/>
          <w:szCs w:val="24"/>
          <w:u w:val="single"/>
        </w:rPr>
        <w:t>MAGI Conversion Timeline</w:t>
      </w:r>
    </w:p>
    <w:p w:rsidR="00350E01" w:rsidRPr="00883A0D" w:rsidRDefault="00350E01" w:rsidP="00350E01">
      <w:pPr>
        <w:spacing w:line="360" w:lineRule="auto"/>
        <w:jc w:val="both"/>
        <w:rPr>
          <w:rFonts w:ascii="Times New Roman" w:hAnsi="Times New Roman"/>
          <w:sz w:val="24"/>
          <w:szCs w:val="24"/>
        </w:rPr>
      </w:pPr>
      <w:r w:rsidRPr="00883A0D">
        <w:rPr>
          <w:rFonts w:ascii="Times New Roman" w:hAnsi="Times New Roman"/>
          <w:sz w:val="24"/>
          <w:szCs w:val="24"/>
        </w:rPr>
        <w:t>CMS developed the following 5-step process for all states to adhere to</w:t>
      </w:r>
      <w:r w:rsidRPr="00883A0D">
        <w:rPr>
          <w:rStyle w:val="FootnoteReference"/>
          <w:rFonts w:ascii="Times New Roman" w:hAnsi="Times New Roman"/>
          <w:sz w:val="24"/>
          <w:szCs w:val="24"/>
        </w:rPr>
        <w:footnoteReference w:id="19"/>
      </w:r>
      <w:r w:rsidRPr="00883A0D">
        <w:rPr>
          <w:rFonts w:ascii="Times New Roman" w:hAnsi="Times New Roman"/>
          <w:sz w:val="24"/>
          <w:szCs w:val="24"/>
        </w:rPr>
        <w:t>:</w:t>
      </w:r>
    </w:p>
    <w:p w:rsidR="00C65532" w:rsidRDefault="00C65532" w:rsidP="009A0571">
      <w:pPr>
        <w:spacing w:after="0" w:line="240" w:lineRule="auto"/>
        <w:jc w:val="center"/>
        <w:rPr>
          <w:rFonts w:ascii="Times New Roman" w:hAnsi="Times New Roman"/>
        </w:rPr>
      </w:pPr>
      <w:r w:rsidRPr="00C65532">
        <w:rPr>
          <w:noProof/>
          <w:lang w:eastAsia="en-US"/>
        </w:rPr>
        <w:drawing>
          <wp:inline distT="0" distB="0" distL="0" distR="0">
            <wp:extent cx="4168140" cy="3693160"/>
            <wp:effectExtent l="19050" t="0" r="381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srcRect/>
                    <a:stretch>
                      <a:fillRect/>
                    </a:stretch>
                  </pic:blipFill>
                  <pic:spPr bwMode="auto">
                    <a:xfrm>
                      <a:off x="0" y="0"/>
                      <a:ext cx="4168140" cy="3693160"/>
                    </a:xfrm>
                    <a:prstGeom prst="rect">
                      <a:avLst/>
                    </a:prstGeom>
                    <a:noFill/>
                    <a:ln w="9525">
                      <a:noFill/>
                      <a:miter lim="800000"/>
                      <a:headEnd/>
                      <a:tailEnd/>
                    </a:ln>
                  </pic:spPr>
                </pic:pic>
              </a:graphicData>
            </a:graphic>
          </wp:inline>
        </w:drawing>
      </w:r>
    </w:p>
    <w:p w:rsidR="009A0571" w:rsidRDefault="009A0571" w:rsidP="009A0571">
      <w:pPr>
        <w:spacing w:after="0" w:line="240" w:lineRule="auto"/>
        <w:rPr>
          <w:rFonts w:ascii="Times New Roman" w:hAnsi="Times New Roman"/>
        </w:rPr>
      </w:pPr>
    </w:p>
    <w:p w:rsidR="00350E01" w:rsidRPr="00B03D9E" w:rsidRDefault="00350E01" w:rsidP="00350E01">
      <w:pPr>
        <w:jc w:val="both"/>
        <w:rPr>
          <w:rFonts w:ascii="Times New Roman" w:hAnsi="Times New Roman"/>
          <w:i/>
        </w:rPr>
      </w:pPr>
      <w:r>
        <w:rPr>
          <w:rFonts w:ascii="Times New Roman" w:hAnsi="Times New Roman"/>
        </w:rPr>
        <w:t xml:space="preserve">* </w:t>
      </w:r>
      <w:r w:rsidRPr="00B03D9E">
        <w:rPr>
          <w:rFonts w:ascii="Times New Roman" w:hAnsi="Times New Roman"/>
          <w:i/>
        </w:rPr>
        <w:t>States will be notified of their plan’s approval or disproval by June 15, 2013.</w:t>
      </w:r>
    </w:p>
    <w:p w:rsidR="00350E01" w:rsidRPr="00B03D9E" w:rsidRDefault="00350E01" w:rsidP="00350E01">
      <w:pPr>
        <w:pStyle w:val="ListParagraph"/>
        <w:jc w:val="both"/>
        <w:rPr>
          <w:rFonts w:ascii="Times New Roman" w:hAnsi="Times New Roman"/>
        </w:rPr>
      </w:pPr>
    </w:p>
    <w:p w:rsidR="00350E01" w:rsidRPr="00883A0D" w:rsidRDefault="00350E01" w:rsidP="00350E01">
      <w:pPr>
        <w:jc w:val="both"/>
        <w:rPr>
          <w:rFonts w:ascii="Times New Roman" w:hAnsi="Times New Roman"/>
          <w:sz w:val="24"/>
          <w:szCs w:val="24"/>
        </w:rPr>
      </w:pPr>
      <w:r w:rsidRPr="00883A0D">
        <w:rPr>
          <w:rFonts w:ascii="Times New Roman" w:hAnsi="Times New Roman"/>
          <w:sz w:val="24"/>
          <w:szCs w:val="24"/>
        </w:rPr>
        <w:t xml:space="preserve">At this time, Utah has </w:t>
      </w:r>
      <w:r w:rsidR="005C34C0">
        <w:rPr>
          <w:rFonts w:ascii="Times New Roman" w:hAnsi="Times New Roman"/>
          <w:sz w:val="24"/>
          <w:szCs w:val="24"/>
        </w:rPr>
        <w:t xml:space="preserve">submitted a plan using state data. Generally, CMS </w:t>
      </w:r>
      <w:r w:rsidRPr="00883A0D">
        <w:rPr>
          <w:rFonts w:ascii="Times New Roman" w:hAnsi="Times New Roman"/>
          <w:sz w:val="24"/>
          <w:szCs w:val="24"/>
        </w:rPr>
        <w:t>anticipates on-going dialogue with states about the selection of an appropriate MAGI conversion methodology. As a result, it is preparing several technical assistance documents that explain:</w:t>
      </w:r>
    </w:p>
    <w:p w:rsidR="00350E01" w:rsidRPr="00883A0D" w:rsidRDefault="00B104A9" w:rsidP="00350E01">
      <w:pPr>
        <w:pStyle w:val="ListParagraph"/>
        <w:numPr>
          <w:ilvl w:val="0"/>
          <w:numId w:val="10"/>
        </w:numPr>
        <w:spacing w:after="0"/>
        <w:jc w:val="both"/>
        <w:rPr>
          <w:rFonts w:ascii="Times New Roman" w:hAnsi="Times New Roman"/>
          <w:sz w:val="24"/>
          <w:szCs w:val="24"/>
        </w:rPr>
      </w:pPr>
      <w:r>
        <w:rPr>
          <w:rFonts w:ascii="Times New Roman" w:hAnsi="Times New Roman"/>
          <w:sz w:val="24"/>
          <w:szCs w:val="24"/>
        </w:rPr>
        <w:t>T</w:t>
      </w:r>
      <w:r w:rsidR="00350E01" w:rsidRPr="00883A0D">
        <w:rPr>
          <w:rFonts w:ascii="Times New Roman" w:hAnsi="Times New Roman"/>
          <w:sz w:val="24"/>
          <w:szCs w:val="24"/>
        </w:rPr>
        <w:t xml:space="preserve">he standardized MAGI conversion methodology and SIPP data, </w:t>
      </w:r>
    </w:p>
    <w:p w:rsidR="00350E01" w:rsidRPr="00883A0D" w:rsidRDefault="00B104A9" w:rsidP="00350E01">
      <w:pPr>
        <w:pStyle w:val="ListParagraph"/>
        <w:numPr>
          <w:ilvl w:val="0"/>
          <w:numId w:val="10"/>
        </w:numPr>
        <w:spacing w:after="0"/>
        <w:jc w:val="both"/>
        <w:rPr>
          <w:rFonts w:ascii="Times New Roman" w:hAnsi="Times New Roman"/>
          <w:sz w:val="24"/>
          <w:szCs w:val="24"/>
        </w:rPr>
      </w:pPr>
      <w:r>
        <w:rPr>
          <w:rFonts w:ascii="Times New Roman" w:hAnsi="Times New Roman"/>
          <w:sz w:val="24"/>
          <w:szCs w:val="24"/>
        </w:rPr>
        <w:t>H</w:t>
      </w:r>
      <w:r w:rsidR="00350E01" w:rsidRPr="00883A0D">
        <w:rPr>
          <w:rFonts w:ascii="Times New Roman" w:hAnsi="Times New Roman"/>
          <w:sz w:val="24"/>
          <w:szCs w:val="24"/>
        </w:rPr>
        <w:t>ow states can use their own data in the standardized methodology</w:t>
      </w:r>
      <w:r>
        <w:rPr>
          <w:rFonts w:ascii="Times New Roman" w:hAnsi="Times New Roman"/>
          <w:sz w:val="24"/>
          <w:szCs w:val="24"/>
        </w:rPr>
        <w:t>,</w:t>
      </w:r>
      <w:r w:rsidR="00350E01" w:rsidRPr="00883A0D">
        <w:rPr>
          <w:rFonts w:ascii="Times New Roman" w:hAnsi="Times New Roman"/>
          <w:sz w:val="24"/>
          <w:szCs w:val="24"/>
        </w:rPr>
        <w:t xml:space="preserve"> and </w:t>
      </w:r>
    </w:p>
    <w:p w:rsidR="00350E01" w:rsidRPr="00883A0D" w:rsidRDefault="00B104A9" w:rsidP="00350E01">
      <w:pPr>
        <w:pStyle w:val="ListParagraph"/>
        <w:numPr>
          <w:ilvl w:val="0"/>
          <w:numId w:val="10"/>
        </w:numPr>
        <w:spacing w:after="0"/>
        <w:jc w:val="both"/>
        <w:rPr>
          <w:rFonts w:ascii="Times New Roman" w:hAnsi="Times New Roman"/>
          <w:sz w:val="24"/>
          <w:szCs w:val="24"/>
        </w:rPr>
      </w:pPr>
      <w:r>
        <w:rPr>
          <w:rFonts w:ascii="Times New Roman" w:hAnsi="Times New Roman"/>
          <w:sz w:val="24"/>
          <w:szCs w:val="24"/>
        </w:rPr>
        <w:lastRenderedPageBreak/>
        <w:t>T</w:t>
      </w:r>
      <w:r w:rsidR="00350E01" w:rsidRPr="00883A0D">
        <w:rPr>
          <w:rFonts w:ascii="Times New Roman" w:hAnsi="Times New Roman"/>
          <w:sz w:val="24"/>
          <w:szCs w:val="24"/>
        </w:rPr>
        <w:t xml:space="preserve">he eligibility thresholds for any Medicaid group subject to the MAGI conversion. </w:t>
      </w:r>
    </w:p>
    <w:p w:rsidR="00350E01" w:rsidRPr="00883A0D" w:rsidRDefault="00350E01" w:rsidP="00350E01">
      <w:pPr>
        <w:jc w:val="both"/>
        <w:rPr>
          <w:rFonts w:ascii="Times New Roman" w:hAnsi="Times New Roman"/>
          <w:sz w:val="24"/>
          <w:szCs w:val="24"/>
        </w:rPr>
      </w:pPr>
    </w:p>
    <w:p w:rsidR="00350E01" w:rsidRPr="00883A0D" w:rsidRDefault="00350E01" w:rsidP="00350E01">
      <w:pPr>
        <w:jc w:val="both"/>
        <w:rPr>
          <w:rFonts w:ascii="Times New Roman" w:hAnsi="Times New Roman"/>
          <w:sz w:val="24"/>
          <w:szCs w:val="24"/>
        </w:rPr>
      </w:pPr>
      <w:r w:rsidRPr="00883A0D">
        <w:rPr>
          <w:rFonts w:ascii="Times New Roman" w:hAnsi="Times New Roman"/>
          <w:sz w:val="24"/>
          <w:szCs w:val="24"/>
        </w:rPr>
        <w:t>All states will be able to review the SIPP data (as CMS will provide data analyses on a rolling basis prior to the April 2013 MAGI conversion results) and explore other options before submitting their MAGI conversion plans.</w:t>
      </w:r>
    </w:p>
    <w:p w:rsidR="00245DD0" w:rsidRPr="00382FD4" w:rsidRDefault="00245DD0" w:rsidP="00C65532">
      <w:pPr>
        <w:spacing w:after="0" w:line="240" w:lineRule="auto"/>
        <w:rPr>
          <w:rFonts w:ascii="Times New Roman" w:hAnsi="Times New Roman"/>
          <w:sz w:val="24"/>
          <w:szCs w:val="24"/>
        </w:rPr>
      </w:pPr>
      <w:r>
        <w:rPr>
          <w:rFonts w:ascii="Times New Roman" w:hAnsi="Times New Roman"/>
          <w:sz w:val="24"/>
          <w:szCs w:val="24"/>
        </w:rPr>
        <w:br w:type="page"/>
      </w:r>
      <w:r w:rsidRPr="005818D1">
        <w:rPr>
          <w:rFonts w:ascii="Times New Roman" w:hAnsi="Times New Roman"/>
          <w:b/>
          <w:color w:val="548DD4" w:themeColor="text2" w:themeTint="99"/>
          <w:sz w:val="28"/>
          <w:szCs w:val="24"/>
        </w:rPr>
        <w:lastRenderedPageBreak/>
        <w:t xml:space="preserve">Appendix </w:t>
      </w:r>
      <w:r w:rsidR="00CA697E" w:rsidRPr="005818D1">
        <w:rPr>
          <w:rFonts w:ascii="Times New Roman" w:hAnsi="Times New Roman"/>
          <w:b/>
          <w:color w:val="548DD4" w:themeColor="text2" w:themeTint="99"/>
          <w:sz w:val="28"/>
          <w:szCs w:val="24"/>
        </w:rPr>
        <w:t>II</w:t>
      </w:r>
      <w:r w:rsidR="00CA697E">
        <w:rPr>
          <w:rFonts w:ascii="Times New Roman" w:hAnsi="Times New Roman"/>
          <w:b/>
          <w:color w:val="548DD4" w:themeColor="text2" w:themeTint="99"/>
          <w:sz w:val="28"/>
          <w:szCs w:val="24"/>
        </w:rPr>
        <w:t xml:space="preserve">I </w:t>
      </w:r>
      <w:r w:rsidR="00CA697E" w:rsidRPr="003F43BC">
        <w:rPr>
          <w:rFonts w:ascii="Times New Roman" w:hAnsi="Times New Roman"/>
          <w:i/>
          <w:sz w:val="28"/>
          <w:szCs w:val="24"/>
        </w:rPr>
        <w:t>(</w:t>
      </w:r>
      <w:r w:rsidR="00382FD4" w:rsidRPr="00382FD4">
        <w:rPr>
          <w:rFonts w:ascii="Times New Roman" w:hAnsi="Times New Roman"/>
          <w:i/>
          <w:sz w:val="24"/>
          <w:szCs w:val="24"/>
        </w:rPr>
        <w:t>Medicaid vs. Essential Health Benefit Comparison</w:t>
      </w:r>
      <w:r w:rsidR="00382FD4">
        <w:rPr>
          <w:rFonts w:ascii="Times New Roman" w:hAnsi="Times New Roman"/>
          <w:i/>
          <w:sz w:val="24"/>
          <w:szCs w:val="24"/>
        </w:rPr>
        <w:t>)</w:t>
      </w:r>
    </w:p>
    <w:p w:rsidR="00245DD0" w:rsidRPr="00245DD0" w:rsidRDefault="00C65532" w:rsidP="00586B44">
      <w:pPr>
        <w:spacing w:after="240"/>
        <w:jc w:val="center"/>
        <w:rPr>
          <w:rFonts w:ascii="Times New Roman" w:hAnsi="Times New Roman"/>
          <w:color w:val="548DD4" w:themeColor="text2" w:themeTint="99"/>
          <w:sz w:val="24"/>
          <w:szCs w:val="24"/>
        </w:rPr>
      </w:pPr>
      <w:r w:rsidRPr="00C65532">
        <w:rPr>
          <w:noProof/>
          <w:szCs w:val="24"/>
          <w:lang w:eastAsia="en-US"/>
        </w:rPr>
        <w:drawing>
          <wp:inline distT="0" distB="0" distL="0" distR="0">
            <wp:extent cx="5943600" cy="7139427"/>
            <wp:effectExtent l="19050" t="0" r="0"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srcRect/>
                    <a:stretch>
                      <a:fillRect/>
                    </a:stretch>
                  </pic:blipFill>
                  <pic:spPr bwMode="auto">
                    <a:xfrm>
                      <a:off x="0" y="0"/>
                      <a:ext cx="5943600" cy="7139427"/>
                    </a:xfrm>
                    <a:prstGeom prst="rect">
                      <a:avLst/>
                    </a:prstGeom>
                    <a:noFill/>
                    <a:ln w="9525">
                      <a:noFill/>
                      <a:miter lim="800000"/>
                      <a:headEnd/>
                      <a:tailEnd/>
                    </a:ln>
                  </pic:spPr>
                </pic:pic>
              </a:graphicData>
            </a:graphic>
          </wp:inline>
        </w:drawing>
      </w:r>
    </w:p>
    <w:p w:rsidR="001C3704" w:rsidRDefault="001C3704" w:rsidP="00350E01">
      <w:pPr>
        <w:rPr>
          <w:rFonts w:ascii="Times New Roman" w:hAnsi="Times New Roman"/>
          <w:b/>
          <w:color w:val="548DD4" w:themeColor="text2" w:themeTint="99"/>
          <w:sz w:val="28"/>
          <w:szCs w:val="24"/>
        </w:rPr>
      </w:pPr>
      <w:r w:rsidRPr="005818D1">
        <w:rPr>
          <w:rFonts w:ascii="Times New Roman" w:hAnsi="Times New Roman"/>
          <w:b/>
          <w:color w:val="548DD4" w:themeColor="text2" w:themeTint="99"/>
          <w:sz w:val="28"/>
          <w:szCs w:val="24"/>
        </w:rPr>
        <w:lastRenderedPageBreak/>
        <w:t>Appendix I</w:t>
      </w:r>
      <w:r>
        <w:rPr>
          <w:rFonts w:ascii="Times New Roman" w:hAnsi="Times New Roman"/>
          <w:b/>
          <w:color w:val="548DD4" w:themeColor="text2" w:themeTint="99"/>
          <w:sz w:val="28"/>
          <w:szCs w:val="24"/>
        </w:rPr>
        <w:t>V</w:t>
      </w:r>
    </w:p>
    <w:p w:rsidR="00325B08" w:rsidRDefault="00527620" w:rsidP="00350E01">
      <w:pPr>
        <w:rPr>
          <w:rFonts w:ascii="Times New Roman" w:hAnsi="Times New Roman"/>
          <w:sz w:val="24"/>
          <w:szCs w:val="24"/>
        </w:rPr>
      </w:pPr>
      <w:proofErr w:type="gramStart"/>
      <w:r>
        <w:rPr>
          <w:rFonts w:ascii="Times New Roman" w:hAnsi="Times New Roman"/>
          <w:sz w:val="24"/>
          <w:szCs w:val="24"/>
        </w:rPr>
        <w:t>Federal Financial Participation in Utah Medicaid Average</w:t>
      </w:r>
      <w:r w:rsidR="00435301">
        <w:rPr>
          <w:rFonts w:ascii="Times New Roman" w:hAnsi="Times New Roman"/>
          <w:sz w:val="24"/>
          <w:szCs w:val="24"/>
        </w:rPr>
        <w:t>.</w:t>
      </w:r>
      <w:proofErr w:type="gramEnd"/>
      <w:r w:rsidR="00435301">
        <w:rPr>
          <w:rFonts w:ascii="Times New Roman" w:hAnsi="Times New Roman"/>
          <w:sz w:val="24"/>
          <w:szCs w:val="24"/>
        </w:rPr>
        <w:t xml:space="preserve"> </w:t>
      </w:r>
    </w:p>
    <w:p w:rsidR="00350E01" w:rsidRDefault="001109B8" w:rsidP="00350E01">
      <w:pPr>
        <w:rPr>
          <w:rFonts w:ascii="Times New Roman" w:hAnsi="Times New Roman"/>
          <w:sz w:val="24"/>
          <w:szCs w:val="24"/>
        </w:rPr>
      </w:pPr>
      <w:r>
        <w:rPr>
          <w:rFonts w:ascii="Times New Roman" w:hAnsi="Times New Roman"/>
          <w:sz w:val="24"/>
          <w:szCs w:val="24"/>
        </w:rPr>
        <w:t>T</w:t>
      </w:r>
      <w:r w:rsidR="00435301">
        <w:rPr>
          <w:rFonts w:ascii="Times New Roman" w:hAnsi="Times New Roman"/>
          <w:sz w:val="24"/>
          <w:szCs w:val="24"/>
        </w:rPr>
        <w:t xml:space="preserve">o be more representative of current years, </w:t>
      </w:r>
      <w:r w:rsidR="00325B08">
        <w:rPr>
          <w:rFonts w:ascii="Times New Roman" w:hAnsi="Times New Roman"/>
          <w:sz w:val="24"/>
          <w:szCs w:val="24"/>
        </w:rPr>
        <w:t>the average figured was reduced to</w:t>
      </w:r>
      <w:r w:rsidR="00435301">
        <w:rPr>
          <w:rFonts w:ascii="Times New Roman" w:hAnsi="Times New Roman"/>
          <w:sz w:val="24"/>
          <w:szCs w:val="24"/>
        </w:rPr>
        <w:t xml:space="preserve"> </w:t>
      </w:r>
      <w:r w:rsidR="00435301" w:rsidRPr="007E5259">
        <w:rPr>
          <w:rFonts w:ascii="Times New Roman" w:hAnsi="Times New Roman"/>
          <w:b/>
          <w:sz w:val="24"/>
          <w:szCs w:val="24"/>
        </w:rPr>
        <w:t>71.2%</w:t>
      </w:r>
      <w:r w:rsidR="00435301">
        <w:rPr>
          <w:rFonts w:ascii="Times New Roman" w:hAnsi="Times New Roman"/>
          <w:sz w:val="24"/>
          <w:szCs w:val="24"/>
        </w:rPr>
        <w:t xml:space="preserve"> </w:t>
      </w:r>
      <w:r w:rsidR="00325B08">
        <w:rPr>
          <w:rFonts w:ascii="Times New Roman" w:hAnsi="Times New Roman"/>
          <w:sz w:val="24"/>
          <w:szCs w:val="24"/>
        </w:rPr>
        <w:t>because the FMAP in FY 2009 and FY 2010 was viewed as trending the data higher than should be expected in future years.</w:t>
      </w:r>
    </w:p>
    <w:p w:rsidR="00527620" w:rsidRDefault="00527620" w:rsidP="00350E01">
      <w:pPr>
        <w:rPr>
          <w:rFonts w:ascii="Times New Roman" w:hAnsi="Times New Roman"/>
          <w:sz w:val="24"/>
          <w:szCs w:val="24"/>
        </w:rPr>
      </w:pPr>
    </w:p>
    <w:p w:rsidR="00527620" w:rsidRDefault="00377A67" w:rsidP="00527620">
      <w:pPr>
        <w:jc w:val="center"/>
        <w:rPr>
          <w:rFonts w:ascii="Times New Roman" w:hAnsi="Times New Roman"/>
          <w:sz w:val="24"/>
          <w:szCs w:val="24"/>
        </w:rPr>
      </w:pPr>
      <w:r w:rsidRPr="00377A67">
        <w:rPr>
          <w:noProof/>
          <w:szCs w:val="24"/>
          <w:lang w:eastAsia="en-US"/>
        </w:rPr>
        <w:drawing>
          <wp:inline distT="0" distB="0" distL="0" distR="0">
            <wp:extent cx="2825115" cy="2620645"/>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srcRect/>
                    <a:stretch>
                      <a:fillRect/>
                    </a:stretch>
                  </pic:blipFill>
                  <pic:spPr bwMode="auto">
                    <a:xfrm>
                      <a:off x="0" y="0"/>
                      <a:ext cx="2825115" cy="2620645"/>
                    </a:xfrm>
                    <a:prstGeom prst="rect">
                      <a:avLst/>
                    </a:prstGeom>
                    <a:noFill/>
                    <a:ln w="9525">
                      <a:noFill/>
                      <a:miter lim="800000"/>
                      <a:headEnd/>
                      <a:tailEnd/>
                    </a:ln>
                  </pic:spPr>
                </pic:pic>
              </a:graphicData>
            </a:graphic>
          </wp:inline>
        </w:drawing>
      </w:r>
    </w:p>
    <w:p w:rsidR="00134B3D" w:rsidRDefault="00134B3D">
      <w:pPr>
        <w:spacing w:after="0" w:line="240" w:lineRule="auto"/>
        <w:rPr>
          <w:rFonts w:ascii="Times New Roman" w:hAnsi="Times New Roman"/>
          <w:sz w:val="24"/>
          <w:szCs w:val="24"/>
        </w:rPr>
        <w:sectPr w:rsidR="00134B3D" w:rsidSect="00B804F5">
          <w:pgSz w:w="12240" w:h="15840"/>
          <w:pgMar w:top="576" w:right="1440" w:bottom="288" w:left="1440" w:header="720" w:footer="720" w:gutter="0"/>
          <w:cols w:space="720"/>
          <w:docGrid w:linePitch="360"/>
        </w:sectPr>
      </w:pPr>
    </w:p>
    <w:p w:rsidR="00134B3D" w:rsidRDefault="00134B3D" w:rsidP="00134B3D">
      <w:pPr>
        <w:rPr>
          <w:rFonts w:ascii="Times New Roman" w:hAnsi="Times New Roman"/>
          <w:b/>
          <w:color w:val="548DD4" w:themeColor="text2" w:themeTint="99"/>
          <w:sz w:val="28"/>
          <w:szCs w:val="24"/>
        </w:rPr>
      </w:pPr>
      <w:r w:rsidRPr="005818D1">
        <w:rPr>
          <w:rFonts w:ascii="Times New Roman" w:hAnsi="Times New Roman"/>
          <w:b/>
          <w:color w:val="548DD4" w:themeColor="text2" w:themeTint="99"/>
          <w:sz w:val="28"/>
          <w:szCs w:val="24"/>
        </w:rPr>
        <w:lastRenderedPageBreak/>
        <w:t xml:space="preserve">Appendix </w:t>
      </w:r>
      <w:r>
        <w:rPr>
          <w:rFonts w:ascii="Times New Roman" w:hAnsi="Times New Roman"/>
          <w:b/>
          <w:color w:val="548DD4" w:themeColor="text2" w:themeTint="99"/>
          <w:sz w:val="28"/>
          <w:szCs w:val="24"/>
        </w:rPr>
        <w:t>V</w:t>
      </w:r>
    </w:p>
    <w:p w:rsidR="00134B3D" w:rsidRDefault="00134B3D" w:rsidP="00134B3D">
      <w:pPr>
        <w:rPr>
          <w:rFonts w:ascii="Times New Roman" w:hAnsi="Times New Roman"/>
          <w:sz w:val="24"/>
          <w:szCs w:val="24"/>
        </w:rPr>
      </w:pPr>
      <w:r>
        <w:rPr>
          <w:rFonts w:ascii="Times New Roman" w:hAnsi="Times New Roman"/>
          <w:sz w:val="24"/>
          <w:szCs w:val="24"/>
        </w:rPr>
        <w:t xml:space="preserve">Below the Per </w:t>
      </w:r>
      <w:r w:rsidR="00845269">
        <w:rPr>
          <w:rFonts w:ascii="Times New Roman" w:hAnsi="Times New Roman"/>
          <w:sz w:val="24"/>
          <w:szCs w:val="24"/>
        </w:rPr>
        <w:t>Member</w:t>
      </w:r>
      <w:r>
        <w:rPr>
          <w:rFonts w:ascii="Times New Roman" w:hAnsi="Times New Roman"/>
          <w:sz w:val="24"/>
          <w:szCs w:val="24"/>
        </w:rPr>
        <w:t xml:space="preserve"> </w:t>
      </w:r>
      <w:proofErr w:type="gramStart"/>
      <w:r>
        <w:rPr>
          <w:rFonts w:ascii="Times New Roman" w:hAnsi="Times New Roman"/>
          <w:sz w:val="24"/>
          <w:szCs w:val="24"/>
        </w:rPr>
        <w:t>Per</w:t>
      </w:r>
      <w:proofErr w:type="gramEnd"/>
      <w:r>
        <w:rPr>
          <w:rFonts w:ascii="Times New Roman" w:hAnsi="Times New Roman"/>
          <w:sz w:val="24"/>
          <w:szCs w:val="24"/>
        </w:rPr>
        <w:t xml:space="preserve"> </w:t>
      </w:r>
      <w:r w:rsidR="00845269">
        <w:rPr>
          <w:rFonts w:ascii="Times New Roman" w:hAnsi="Times New Roman"/>
          <w:sz w:val="24"/>
          <w:szCs w:val="24"/>
        </w:rPr>
        <w:t>Year</w:t>
      </w:r>
      <w:r>
        <w:rPr>
          <w:rFonts w:ascii="Times New Roman" w:hAnsi="Times New Roman"/>
          <w:sz w:val="24"/>
          <w:szCs w:val="24"/>
        </w:rPr>
        <w:t xml:space="preserve"> (PMP</w:t>
      </w:r>
      <w:r w:rsidR="00845269">
        <w:rPr>
          <w:rFonts w:ascii="Times New Roman" w:hAnsi="Times New Roman"/>
          <w:sz w:val="24"/>
          <w:szCs w:val="24"/>
        </w:rPr>
        <w:t>Y</w:t>
      </w:r>
      <w:r>
        <w:rPr>
          <w:rFonts w:ascii="Times New Roman" w:hAnsi="Times New Roman"/>
          <w:sz w:val="24"/>
          <w:szCs w:val="24"/>
        </w:rPr>
        <w:t>) figures used for calculating future year costs are provided.</w:t>
      </w:r>
      <w:r w:rsidR="00B2223E">
        <w:rPr>
          <w:rFonts w:ascii="Times New Roman" w:hAnsi="Times New Roman"/>
          <w:sz w:val="24"/>
          <w:szCs w:val="24"/>
        </w:rPr>
        <w:t xml:space="preserve">  These figures represent total costs of the program divided by total enrollees in the year.</w:t>
      </w:r>
      <w:r w:rsidR="00EF5EA9">
        <w:rPr>
          <w:rFonts w:ascii="Times New Roman" w:hAnsi="Times New Roman"/>
          <w:sz w:val="24"/>
          <w:szCs w:val="24"/>
        </w:rPr>
        <w:t xml:space="preserve"> These figures have been discounted by 20% </w:t>
      </w:r>
      <w:r w:rsidR="00D542BA">
        <w:rPr>
          <w:rFonts w:ascii="Times New Roman" w:hAnsi="Times New Roman"/>
          <w:sz w:val="24"/>
          <w:szCs w:val="24"/>
        </w:rPr>
        <w:t>per</w:t>
      </w:r>
      <w:r w:rsidR="00EF5EA9">
        <w:rPr>
          <w:rFonts w:ascii="Times New Roman" w:hAnsi="Times New Roman"/>
          <w:sz w:val="24"/>
          <w:szCs w:val="24"/>
        </w:rPr>
        <w:t xml:space="preserve"> the PCG – MESM. </w:t>
      </w:r>
    </w:p>
    <w:p w:rsidR="00134B3D" w:rsidRPr="00134B3D" w:rsidRDefault="00845269" w:rsidP="00134B3D">
      <w:pPr>
        <w:rPr>
          <w:rFonts w:asciiTheme="minorHAnsi" w:eastAsiaTheme="minorHAnsi" w:hAnsiTheme="minorHAnsi" w:cstheme="minorBidi"/>
          <w:b/>
          <w:lang w:eastAsia="en-US"/>
        </w:rPr>
      </w:pPr>
      <w:r>
        <w:rPr>
          <w:rFonts w:asciiTheme="minorHAnsi" w:eastAsiaTheme="minorHAnsi" w:hAnsiTheme="minorHAnsi" w:cstheme="minorBidi"/>
          <w:b/>
          <w:lang w:eastAsia="en-US"/>
        </w:rPr>
        <w:t>Medicaid PMPY</w:t>
      </w:r>
      <w:r w:rsidR="00134B3D" w:rsidRPr="00134B3D">
        <w:rPr>
          <w:rFonts w:asciiTheme="minorHAnsi" w:eastAsiaTheme="minorHAnsi" w:hAnsiTheme="minorHAnsi" w:cstheme="minorBidi"/>
          <w:b/>
          <w:lang w:eastAsia="en-US"/>
        </w:rPr>
        <w:t>s</w:t>
      </w:r>
    </w:p>
    <w:p w:rsidR="00134B3D" w:rsidRPr="00134B3D" w:rsidRDefault="000E26C6" w:rsidP="00134B3D">
      <w:pPr>
        <w:rPr>
          <w:rFonts w:asciiTheme="minorHAnsi" w:eastAsiaTheme="minorHAnsi" w:hAnsiTheme="minorHAnsi" w:cstheme="minorBidi"/>
          <w:lang w:eastAsia="en-US"/>
        </w:rPr>
      </w:pPr>
      <w:r w:rsidRPr="000E26C6">
        <w:rPr>
          <w:rFonts w:eastAsiaTheme="minorHAnsi"/>
          <w:noProof/>
          <w:lang w:eastAsia="en-US"/>
        </w:rPr>
        <w:drawing>
          <wp:inline distT="0" distB="0" distL="0" distR="0">
            <wp:extent cx="8886825" cy="1724025"/>
            <wp:effectExtent l="19050" t="0" r="9525" b="0"/>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srcRect/>
                    <a:stretch>
                      <a:fillRect/>
                    </a:stretch>
                  </pic:blipFill>
                  <pic:spPr bwMode="auto">
                    <a:xfrm>
                      <a:off x="0" y="0"/>
                      <a:ext cx="8886825" cy="1724025"/>
                    </a:xfrm>
                    <a:prstGeom prst="rect">
                      <a:avLst/>
                    </a:prstGeom>
                    <a:noFill/>
                    <a:ln w="9525">
                      <a:noFill/>
                      <a:miter lim="800000"/>
                      <a:headEnd/>
                      <a:tailEnd/>
                    </a:ln>
                  </pic:spPr>
                </pic:pic>
              </a:graphicData>
            </a:graphic>
          </wp:inline>
        </w:drawing>
      </w:r>
    </w:p>
    <w:p w:rsidR="00134B3D" w:rsidRPr="00134B3D" w:rsidRDefault="00B2223E" w:rsidP="00134B3D">
      <w:pPr>
        <w:rPr>
          <w:rFonts w:asciiTheme="minorHAnsi" w:eastAsiaTheme="minorHAnsi" w:hAnsiTheme="minorHAnsi" w:cstheme="minorBidi"/>
          <w:b/>
          <w:lang w:eastAsia="en-US"/>
        </w:rPr>
      </w:pPr>
      <w:r>
        <w:rPr>
          <w:rFonts w:asciiTheme="minorHAnsi" w:eastAsiaTheme="minorHAnsi" w:hAnsiTheme="minorHAnsi" w:cstheme="minorBidi"/>
          <w:b/>
          <w:lang w:eastAsia="en-US"/>
        </w:rPr>
        <w:t>EHB PMPY</w:t>
      </w:r>
      <w:r w:rsidR="00134B3D" w:rsidRPr="00134B3D">
        <w:rPr>
          <w:rFonts w:asciiTheme="minorHAnsi" w:eastAsiaTheme="minorHAnsi" w:hAnsiTheme="minorHAnsi" w:cstheme="minorBidi"/>
          <w:b/>
          <w:lang w:eastAsia="en-US"/>
        </w:rPr>
        <w:t>s</w:t>
      </w:r>
    </w:p>
    <w:p w:rsidR="00036ACB" w:rsidRDefault="00036ACB" w:rsidP="00134B3D">
      <w:pPr>
        <w:rPr>
          <w:rFonts w:ascii="Times New Roman" w:hAnsi="Times New Roman"/>
          <w:sz w:val="24"/>
          <w:szCs w:val="24"/>
        </w:rPr>
        <w:sectPr w:rsidR="00036ACB" w:rsidSect="00134B3D">
          <w:pgSz w:w="15840" w:h="12240" w:orient="landscape"/>
          <w:pgMar w:top="1440" w:right="576" w:bottom="1440" w:left="288" w:header="720" w:footer="720" w:gutter="0"/>
          <w:cols w:space="720"/>
          <w:docGrid w:linePitch="360"/>
        </w:sectPr>
      </w:pPr>
      <w:r w:rsidRPr="00036ACB">
        <w:rPr>
          <w:noProof/>
          <w:szCs w:val="24"/>
          <w:lang w:eastAsia="en-US"/>
        </w:rPr>
        <w:drawing>
          <wp:inline distT="0" distB="0" distL="0" distR="0">
            <wp:extent cx="8886825" cy="172402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srcRect/>
                    <a:stretch>
                      <a:fillRect/>
                    </a:stretch>
                  </pic:blipFill>
                  <pic:spPr bwMode="auto">
                    <a:xfrm>
                      <a:off x="0" y="0"/>
                      <a:ext cx="8886825" cy="1724025"/>
                    </a:xfrm>
                    <a:prstGeom prst="rect">
                      <a:avLst/>
                    </a:prstGeom>
                    <a:noFill/>
                    <a:ln w="9525">
                      <a:noFill/>
                      <a:miter lim="800000"/>
                      <a:headEnd/>
                      <a:tailEnd/>
                    </a:ln>
                  </pic:spPr>
                </pic:pic>
              </a:graphicData>
            </a:graphic>
          </wp:inline>
        </w:drawing>
      </w:r>
    </w:p>
    <w:p w:rsidR="00134B3D" w:rsidRDefault="00880290" w:rsidP="00880290">
      <w:pPr>
        <w:pStyle w:val="Heading1"/>
      </w:pPr>
      <w:r>
        <w:lastRenderedPageBreak/>
        <w:t>Appendix V</w:t>
      </w:r>
      <w:r w:rsidR="00BF44FA">
        <w:t>I</w:t>
      </w:r>
    </w:p>
    <w:p w:rsidR="00880290" w:rsidRPr="00D80E66" w:rsidRDefault="00880290" w:rsidP="00880290">
      <w:pPr>
        <w:rPr>
          <w:rFonts w:ascii="Times New Roman" w:hAnsi="Times New Roman"/>
          <w:sz w:val="24"/>
          <w:szCs w:val="24"/>
        </w:rPr>
      </w:pPr>
      <w:r w:rsidRPr="00D80E66">
        <w:rPr>
          <w:rFonts w:ascii="Times New Roman" w:hAnsi="Times New Roman"/>
          <w:sz w:val="24"/>
          <w:szCs w:val="24"/>
        </w:rPr>
        <w:t xml:space="preserve">Below is an appendix detailing the Medicaid expansion studies of 15 other </w:t>
      </w:r>
      <w:proofErr w:type="gramStart"/>
      <w:r w:rsidRPr="00D80E66">
        <w:rPr>
          <w:rFonts w:ascii="Times New Roman" w:hAnsi="Times New Roman"/>
          <w:sz w:val="24"/>
          <w:szCs w:val="24"/>
        </w:rPr>
        <w:t>states.</w:t>
      </w:r>
      <w:proofErr w:type="gramEnd"/>
    </w:p>
    <w:p w:rsidR="004E7C11" w:rsidRDefault="009E0F04" w:rsidP="00880290">
      <w:r w:rsidRPr="009E0F04">
        <w:rPr>
          <w:noProof/>
          <w:lang w:eastAsia="en-US"/>
        </w:rPr>
        <w:drawing>
          <wp:inline distT="0" distB="0" distL="0" distR="0">
            <wp:extent cx="9509760" cy="4242024"/>
            <wp:effectExtent l="1905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srcRect/>
                    <a:stretch>
                      <a:fillRect/>
                    </a:stretch>
                  </pic:blipFill>
                  <pic:spPr bwMode="auto">
                    <a:xfrm>
                      <a:off x="0" y="0"/>
                      <a:ext cx="9509760" cy="4242024"/>
                    </a:xfrm>
                    <a:prstGeom prst="rect">
                      <a:avLst/>
                    </a:prstGeom>
                    <a:noFill/>
                    <a:ln w="9525">
                      <a:noFill/>
                      <a:miter lim="800000"/>
                      <a:headEnd/>
                      <a:tailEnd/>
                    </a:ln>
                  </pic:spPr>
                </pic:pic>
              </a:graphicData>
            </a:graphic>
          </wp:inline>
        </w:drawing>
      </w:r>
    </w:p>
    <w:p w:rsidR="00412F7B" w:rsidRDefault="009E0F04" w:rsidP="00880290">
      <w:r w:rsidRPr="009E0F04">
        <w:rPr>
          <w:noProof/>
          <w:lang w:eastAsia="en-US"/>
        </w:rPr>
        <w:lastRenderedPageBreak/>
        <w:drawing>
          <wp:inline distT="0" distB="0" distL="0" distR="0">
            <wp:extent cx="9509760" cy="4454415"/>
            <wp:effectExtent l="1905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srcRect/>
                    <a:stretch>
                      <a:fillRect/>
                    </a:stretch>
                  </pic:blipFill>
                  <pic:spPr bwMode="auto">
                    <a:xfrm>
                      <a:off x="0" y="0"/>
                      <a:ext cx="9509760" cy="4454415"/>
                    </a:xfrm>
                    <a:prstGeom prst="rect">
                      <a:avLst/>
                    </a:prstGeom>
                    <a:noFill/>
                    <a:ln w="9525">
                      <a:noFill/>
                      <a:miter lim="800000"/>
                      <a:headEnd/>
                      <a:tailEnd/>
                    </a:ln>
                  </pic:spPr>
                </pic:pic>
              </a:graphicData>
            </a:graphic>
          </wp:inline>
        </w:drawing>
      </w:r>
    </w:p>
    <w:p w:rsidR="004E7C11" w:rsidRDefault="009E0F04" w:rsidP="00880290">
      <w:r w:rsidRPr="009E0F04">
        <w:rPr>
          <w:noProof/>
          <w:lang w:eastAsia="en-US"/>
        </w:rPr>
        <w:lastRenderedPageBreak/>
        <w:drawing>
          <wp:inline distT="0" distB="0" distL="0" distR="0">
            <wp:extent cx="9509760" cy="4332997"/>
            <wp:effectExtent l="19050" t="0" r="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srcRect/>
                    <a:stretch>
                      <a:fillRect/>
                    </a:stretch>
                  </pic:blipFill>
                  <pic:spPr bwMode="auto">
                    <a:xfrm>
                      <a:off x="0" y="0"/>
                      <a:ext cx="9509760" cy="4332997"/>
                    </a:xfrm>
                    <a:prstGeom prst="rect">
                      <a:avLst/>
                    </a:prstGeom>
                    <a:noFill/>
                    <a:ln w="9525">
                      <a:noFill/>
                      <a:miter lim="800000"/>
                      <a:headEnd/>
                      <a:tailEnd/>
                    </a:ln>
                  </pic:spPr>
                </pic:pic>
              </a:graphicData>
            </a:graphic>
          </wp:inline>
        </w:drawing>
      </w:r>
    </w:p>
    <w:p w:rsidR="009E0F04" w:rsidRDefault="009E0F04" w:rsidP="00880290">
      <w:r w:rsidRPr="009E0F04">
        <w:rPr>
          <w:noProof/>
          <w:lang w:eastAsia="en-US"/>
        </w:rPr>
        <w:lastRenderedPageBreak/>
        <w:drawing>
          <wp:inline distT="0" distB="0" distL="0" distR="0">
            <wp:extent cx="9509760" cy="4181496"/>
            <wp:effectExtent l="19050" t="0" r="0" b="0"/>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srcRect/>
                    <a:stretch>
                      <a:fillRect/>
                    </a:stretch>
                  </pic:blipFill>
                  <pic:spPr bwMode="auto">
                    <a:xfrm>
                      <a:off x="0" y="0"/>
                      <a:ext cx="9509760" cy="4181496"/>
                    </a:xfrm>
                    <a:prstGeom prst="rect">
                      <a:avLst/>
                    </a:prstGeom>
                    <a:noFill/>
                    <a:ln w="9525">
                      <a:noFill/>
                      <a:miter lim="800000"/>
                      <a:headEnd/>
                      <a:tailEnd/>
                    </a:ln>
                  </pic:spPr>
                </pic:pic>
              </a:graphicData>
            </a:graphic>
          </wp:inline>
        </w:drawing>
      </w:r>
    </w:p>
    <w:p w:rsidR="002B4955" w:rsidRDefault="00B118A4" w:rsidP="00880290">
      <w:pPr>
        <w:sectPr w:rsidR="002B4955" w:rsidSect="00880290">
          <w:pgSz w:w="15840" w:h="12240" w:orient="landscape"/>
          <w:pgMar w:top="1440" w:right="576" w:bottom="1440" w:left="288" w:header="720" w:footer="720" w:gutter="0"/>
          <w:cols w:space="720"/>
          <w:docGrid w:linePitch="360"/>
        </w:sectPr>
      </w:pPr>
      <w:r w:rsidRPr="00B118A4">
        <w:rPr>
          <w:noProof/>
          <w:lang w:eastAsia="en-US"/>
        </w:rPr>
        <w:lastRenderedPageBreak/>
        <w:drawing>
          <wp:inline distT="0" distB="0" distL="0" distR="0">
            <wp:extent cx="9505950" cy="5029200"/>
            <wp:effectExtent l="19050" t="0" r="0" b="0"/>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srcRect/>
                    <a:stretch>
                      <a:fillRect/>
                    </a:stretch>
                  </pic:blipFill>
                  <pic:spPr bwMode="auto">
                    <a:xfrm>
                      <a:off x="0" y="0"/>
                      <a:ext cx="9509760" cy="5031216"/>
                    </a:xfrm>
                    <a:prstGeom prst="rect">
                      <a:avLst/>
                    </a:prstGeom>
                    <a:noFill/>
                    <a:ln w="9525">
                      <a:noFill/>
                      <a:miter lim="800000"/>
                      <a:headEnd/>
                      <a:tailEnd/>
                    </a:ln>
                  </pic:spPr>
                </pic:pic>
              </a:graphicData>
            </a:graphic>
          </wp:inline>
        </w:drawing>
      </w:r>
    </w:p>
    <w:p w:rsidR="002B4955" w:rsidRDefault="002B4955" w:rsidP="00880290">
      <w:pPr>
        <w:rPr>
          <w:rFonts w:ascii="Times New Roman" w:hAnsi="Times New Roman"/>
          <w:b/>
          <w:color w:val="548DD4" w:themeColor="text2" w:themeTint="99"/>
          <w:sz w:val="28"/>
          <w:szCs w:val="24"/>
        </w:rPr>
      </w:pPr>
      <w:r w:rsidRPr="002B4955">
        <w:rPr>
          <w:rFonts w:ascii="Times New Roman" w:hAnsi="Times New Roman"/>
          <w:b/>
          <w:color w:val="548DD4" w:themeColor="text2" w:themeTint="99"/>
          <w:sz w:val="28"/>
          <w:szCs w:val="24"/>
        </w:rPr>
        <w:lastRenderedPageBreak/>
        <w:t>Appendix</w:t>
      </w:r>
      <w:r>
        <w:t xml:space="preserve"> </w:t>
      </w:r>
      <w:r w:rsidRPr="002B4955">
        <w:rPr>
          <w:rFonts w:ascii="Times New Roman" w:hAnsi="Times New Roman"/>
          <w:b/>
          <w:color w:val="548DD4" w:themeColor="text2" w:themeTint="99"/>
          <w:sz w:val="28"/>
          <w:szCs w:val="24"/>
        </w:rPr>
        <w:t>VII</w:t>
      </w:r>
      <w:r w:rsidR="0045358F">
        <w:rPr>
          <w:rFonts w:ascii="Times New Roman" w:hAnsi="Times New Roman"/>
          <w:b/>
          <w:color w:val="548DD4" w:themeColor="text2" w:themeTint="99"/>
          <w:sz w:val="28"/>
          <w:szCs w:val="24"/>
        </w:rPr>
        <w:t xml:space="preserve"> – Tax Revenue Allocation</w:t>
      </w:r>
    </w:p>
    <w:p w:rsidR="002B4955" w:rsidRDefault="002B4955" w:rsidP="002B4955">
      <w:pPr>
        <w:rPr>
          <w:rFonts w:ascii="Times New Roman" w:hAnsi="Times New Roman"/>
        </w:rPr>
      </w:pPr>
      <w:r w:rsidRPr="002B4955">
        <w:rPr>
          <w:rFonts w:ascii="Times New Roman" w:hAnsi="Times New Roman"/>
        </w:rPr>
        <w:t>Tax</w:t>
      </w:r>
      <w:r>
        <w:rPr>
          <w:rFonts w:ascii="Times New Roman" w:hAnsi="Times New Roman"/>
        </w:rPr>
        <w:t xml:space="preserve"> revenues for state and local entities have been allocated according to the chart below. </w:t>
      </w:r>
    </w:p>
    <w:tbl>
      <w:tblPr>
        <w:tblW w:w="4460" w:type="dxa"/>
        <w:jc w:val="center"/>
        <w:tblInd w:w="93" w:type="dxa"/>
        <w:tblLook w:val="04A0"/>
      </w:tblPr>
      <w:tblGrid>
        <w:gridCol w:w="1600"/>
        <w:gridCol w:w="2860"/>
      </w:tblGrid>
      <w:tr w:rsidR="002B4955" w:rsidRPr="002B4955" w:rsidTr="002B4955">
        <w:trPr>
          <w:trHeight w:val="300"/>
          <w:jc w:val="center"/>
        </w:trPr>
        <w:tc>
          <w:tcPr>
            <w:tcW w:w="1600" w:type="dxa"/>
            <w:tcBorders>
              <w:top w:val="single" w:sz="8" w:space="0" w:color="auto"/>
              <w:left w:val="single" w:sz="8" w:space="0" w:color="auto"/>
              <w:bottom w:val="single" w:sz="4" w:space="0" w:color="auto"/>
              <w:right w:val="single" w:sz="4" w:space="0" w:color="auto"/>
            </w:tcBorders>
            <w:shd w:val="clear" w:color="000000" w:fill="376091"/>
            <w:noWrap/>
            <w:vAlign w:val="bottom"/>
            <w:hideMark/>
          </w:tcPr>
          <w:p w:rsidR="002B4955" w:rsidRPr="002B4955" w:rsidRDefault="002B4955" w:rsidP="002B4955">
            <w:pPr>
              <w:spacing w:after="0" w:line="240" w:lineRule="auto"/>
              <w:jc w:val="center"/>
              <w:rPr>
                <w:rFonts w:cs="Calibri"/>
                <w:b/>
                <w:bCs/>
                <w:color w:val="FFFFFF"/>
                <w:lang w:eastAsia="en-US"/>
              </w:rPr>
            </w:pPr>
            <w:r w:rsidRPr="002B4955">
              <w:rPr>
                <w:rFonts w:cs="Calibri"/>
                <w:b/>
                <w:bCs/>
                <w:color w:val="FFFFFF"/>
                <w:lang w:eastAsia="en-US"/>
              </w:rPr>
              <w:t>Allocation</w:t>
            </w:r>
          </w:p>
        </w:tc>
        <w:tc>
          <w:tcPr>
            <w:tcW w:w="2860" w:type="dxa"/>
            <w:tcBorders>
              <w:top w:val="single" w:sz="8" w:space="0" w:color="auto"/>
              <w:left w:val="nil"/>
              <w:bottom w:val="single" w:sz="4" w:space="0" w:color="auto"/>
              <w:right w:val="single" w:sz="8" w:space="0" w:color="auto"/>
            </w:tcBorders>
            <w:shd w:val="clear" w:color="000000" w:fill="376091"/>
            <w:noWrap/>
            <w:vAlign w:val="bottom"/>
            <w:hideMark/>
          </w:tcPr>
          <w:p w:rsidR="002B4955" w:rsidRPr="002B4955" w:rsidRDefault="002B4955" w:rsidP="002B4955">
            <w:pPr>
              <w:spacing w:after="0" w:line="240" w:lineRule="auto"/>
              <w:jc w:val="center"/>
              <w:rPr>
                <w:rFonts w:cs="Calibri"/>
                <w:b/>
                <w:bCs/>
                <w:color w:val="FFFFFF"/>
                <w:lang w:eastAsia="en-US"/>
              </w:rPr>
            </w:pPr>
            <w:r w:rsidRPr="002B4955">
              <w:rPr>
                <w:rFonts w:cs="Calibri"/>
                <w:b/>
                <w:bCs/>
                <w:color w:val="FFFFFF"/>
                <w:lang w:eastAsia="en-US"/>
              </w:rPr>
              <w:t>Description</w:t>
            </w:r>
          </w:p>
        </w:tc>
      </w:tr>
      <w:tr w:rsidR="002B4955" w:rsidRPr="002B4955" w:rsidTr="002B4955">
        <w:trPr>
          <w:trHeight w:val="3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State</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Dividends</w:t>
            </w:r>
          </w:p>
        </w:tc>
      </w:tr>
      <w:tr w:rsidR="002B4955" w:rsidRPr="002B4955" w:rsidTr="002B4955">
        <w:trPr>
          <w:trHeight w:val="6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State</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Social Ins Tax- Employee Contribution</w:t>
            </w:r>
          </w:p>
        </w:tc>
      </w:tr>
      <w:tr w:rsidR="002B4955" w:rsidRPr="002B4955" w:rsidTr="002B4955">
        <w:trPr>
          <w:trHeight w:val="6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State</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Social Ins Tax- Employer Contribution</w:t>
            </w:r>
          </w:p>
        </w:tc>
      </w:tr>
      <w:tr w:rsidR="002B4955" w:rsidRPr="002B4955" w:rsidTr="002B4955">
        <w:trPr>
          <w:trHeight w:val="3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Split (70/30)</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Indirect Bus Tax: Sales Tax</w:t>
            </w:r>
          </w:p>
        </w:tc>
      </w:tr>
      <w:tr w:rsidR="002B4955" w:rsidRPr="002B4955" w:rsidTr="002B4955">
        <w:trPr>
          <w:trHeight w:val="6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Local</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Indirect Bus Tax: Property Tax</w:t>
            </w:r>
          </w:p>
        </w:tc>
      </w:tr>
      <w:tr w:rsidR="002B4955" w:rsidRPr="002B4955" w:rsidTr="002B4955">
        <w:trPr>
          <w:trHeight w:val="6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Local</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 xml:space="preserve">Indirect Bus Tax: Motor Vehicle </w:t>
            </w:r>
            <w:proofErr w:type="spellStart"/>
            <w:r w:rsidRPr="002B4955">
              <w:rPr>
                <w:rFonts w:ascii="Times New Roman" w:hAnsi="Times New Roman"/>
                <w:color w:val="000000"/>
                <w:lang w:eastAsia="en-US"/>
              </w:rPr>
              <w:t>Lic</w:t>
            </w:r>
            <w:proofErr w:type="spellEnd"/>
          </w:p>
        </w:tc>
      </w:tr>
      <w:tr w:rsidR="002B4955" w:rsidRPr="002B4955" w:rsidTr="002B4955">
        <w:trPr>
          <w:trHeight w:val="6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D0199" w:rsidP="002B4955">
            <w:pPr>
              <w:spacing w:after="0" w:line="240" w:lineRule="auto"/>
              <w:jc w:val="center"/>
              <w:rPr>
                <w:rFonts w:ascii="Times New Roman" w:hAnsi="Times New Roman"/>
                <w:color w:val="000000"/>
                <w:lang w:eastAsia="en-US"/>
              </w:rPr>
            </w:pPr>
            <w:r>
              <w:rPr>
                <w:rFonts w:ascii="Times New Roman" w:hAnsi="Times New Roman"/>
                <w:color w:val="000000"/>
                <w:lang w:eastAsia="en-US"/>
              </w:rPr>
              <w:t>State</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Indirect Bus Tax: Severance Tax</w:t>
            </w:r>
          </w:p>
        </w:tc>
      </w:tr>
      <w:tr w:rsidR="002B4955" w:rsidRPr="002B4955" w:rsidTr="002B4955">
        <w:trPr>
          <w:trHeight w:val="6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Local</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Indirect Bus Tax: Other Taxes</w:t>
            </w:r>
          </w:p>
        </w:tc>
      </w:tr>
      <w:tr w:rsidR="002B4955" w:rsidRPr="002B4955" w:rsidTr="002B4955">
        <w:trPr>
          <w:trHeight w:val="6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Local</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 xml:space="preserve">Indirect Bus Tax: S/L </w:t>
            </w:r>
            <w:proofErr w:type="spellStart"/>
            <w:r w:rsidRPr="002B4955">
              <w:rPr>
                <w:rFonts w:ascii="Times New Roman" w:hAnsi="Times New Roman"/>
                <w:color w:val="000000"/>
                <w:lang w:eastAsia="en-US"/>
              </w:rPr>
              <w:t>NonTaxes</w:t>
            </w:r>
            <w:proofErr w:type="spellEnd"/>
          </w:p>
        </w:tc>
      </w:tr>
      <w:tr w:rsidR="002B4955" w:rsidRPr="002B4955" w:rsidTr="002B4955">
        <w:trPr>
          <w:trHeight w:val="3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State</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Corporate Profits Tax</w:t>
            </w:r>
          </w:p>
        </w:tc>
      </w:tr>
      <w:tr w:rsidR="002B4955" w:rsidRPr="002B4955" w:rsidTr="002B4955">
        <w:trPr>
          <w:trHeight w:val="3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State</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Personal Tax: Income Tax</w:t>
            </w:r>
          </w:p>
        </w:tc>
      </w:tr>
      <w:tr w:rsidR="002B4955" w:rsidRPr="002B4955" w:rsidTr="002B4955">
        <w:trPr>
          <w:trHeight w:val="6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State</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 xml:space="preserve">Personal Tax: </w:t>
            </w:r>
            <w:proofErr w:type="spellStart"/>
            <w:r w:rsidRPr="002B4955">
              <w:rPr>
                <w:rFonts w:ascii="Times New Roman" w:hAnsi="Times New Roman"/>
                <w:color w:val="000000"/>
                <w:lang w:eastAsia="en-US"/>
              </w:rPr>
              <w:t>NonTaxes</w:t>
            </w:r>
            <w:proofErr w:type="spellEnd"/>
            <w:r w:rsidRPr="002B4955">
              <w:rPr>
                <w:rFonts w:ascii="Times New Roman" w:hAnsi="Times New Roman"/>
                <w:color w:val="000000"/>
                <w:lang w:eastAsia="en-US"/>
              </w:rPr>
              <w:t xml:space="preserve"> (Fines- Fees</w:t>
            </w:r>
          </w:p>
        </w:tc>
      </w:tr>
      <w:tr w:rsidR="002B4955" w:rsidRPr="002B4955" w:rsidTr="002B4955">
        <w:trPr>
          <w:trHeight w:val="6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State</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Personal Tax: Motor Vehicle License</w:t>
            </w:r>
          </w:p>
        </w:tc>
      </w:tr>
      <w:tr w:rsidR="002B4955" w:rsidRPr="002B4955" w:rsidTr="002B4955">
        <w:trPr>
          <w:trHeight w:val="300"/>
          <w:jc w:val="center"/>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State</w:t>
            </w:r>
          </w:p>
        </w:tc>
        <w:tc>
          <w:tcPr>
            <w:tcW w:w="2860" w:type="dxa"/>
            <w:tcBorders>
              <w:top w:val="nil"/>
              <w:left w:val="nil"/>
              <w:bottom w:val="single" w:sz="4"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Personal Tax: Property Taxes</w:t>
            </w:r>
          </w:p>
        </w:tc>
      </w:tr>
      <w:tr w:rsidR="002B4955" w:rsidRPr="002B4955" w:rsidTr="002B4955">
        <w:trPr>
          <w:trHeight w:val="615"/>
          <w:jc w:val="center"/>
        </w:trPr>
        <w:tc>
          <w:tcPr>
            <w:tcW w:w="1600" w:type="dxa"/>
            <w:tcBorders>
              <w:top w:val="nil"/>
              <w:left w:val="single" w:sz="8" w:space="0" w:color="auto"/>
              <w:bottom w:val="single" w:sz="8" w:space="0" w:color="auto"/>
              <w:right w:val="single" w:sz="4" w:space="0" w:color="auto"/>
            </w:tcBorders>
            <w:shd w:val="clear" w:color="auto" w:fill="auto"/>
            <w:vAlign w:val="bottom"/>
            <w:hideMark/>
          </w:tcPr>
          <w:p w:rsidR="002B4955" w:rsidRPr="002B4955" w:rsidRDefault="002B4955" w:rsidP="002B4955">
            <w:pPr>
              <w:spacing w:after="0" w:line="240" w:lineRule="auto"/>
              <w:jc w:val="center"/>
              <w:rPr>
                <w:rFonts w:ascii="Times New Roman" w:hAnsi="Times New Roman"/>
                <w:color w:val="000000"/>
                <w:lang w:eastAsia="en-US"/>
              </w:rPr>
            </w:pPr>
            <w:r w:rsidRPr="002B4955">
              <w:rPr>
                <w:rFonts w:ascii="Times New Roman" w:hAnsi="Times New Roman"/>
                <w:color w:val="000000"/>
                <w:lang w:eastAsia="en-US"/>
              </w:rPr>
              <w:t>State</w:t>
            </w:r>
          </w:p>
        </w:tc>
        <w:tc>
          <w:tcPr>
            <w:tcW w:w="2860" w:type="dxa"/>
            <w:tcBorders>
              <w:top w:val="nil"/>
              <w:left w:val="nil"/>
              <w:bottom w:val="single" w:sz="8" w:space="0" w:color="auto"/>
              <w:right w:val="single" w:sz="8" w:space="0" w:color="auto"/>
            </w:tcBorders>
            <w:shd w:val="clear" w:color="auto" w:fill="auto"/>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Personal Tax: Other Tax (Fish/Hunt)</w:t>
            </w:r>
          </w:p>
        </w:tc>
      </w:tr>
    </w:tbl>
    <w:p w:rsidR="002B4955" w:rsidRDefault="002B4955" w:rsidP="002B4955"/>
    <w:p w:rsidR="002B4955" w:rsidRDefault="002B4955" w:rsidP="002B4955"/>
    <w:p w:rsidR="00B37C38" w:rsidRDefault="00B37C38" w:rsidP="002B4955"/>
    <w:p w:rsidR="002B4955" w:rsidRDefault="002B4955" w:rsidP="002B4955"/>
    <w:p w:rsidR="002B4955" w:rsidRDefault="002B4955" w:rsidP="002B4955"/>
    <w:p w:rsidR="002B4955" w:rsidRPr="002B4955" w:rsidRDefault="002B4955" w:rsidP="002B4955">
      <w:pPr>
        <w:rPr>
          <w:rFonts w:ascii="Times New Roman" w:hAnsi="Times New Roman"/>
        </w:rPr>
      </w:pPr>
      <w:r w:rsidRPr="002B4955">
        <w:rPr>
          <w:rFonts w:ascii="Times New Roman" w:hAnsi="Times New Roman"/>
        </w:rPr>
        <w:lastRenderedPageBreak/>
        <w:t xml:space="preserve">Sales tax has been allocated according to the chart below. </w:t>
      </w:r>
    </w:p>
    <w:tbl>
      <w:tblPr>
        <w:tblW w:w="5580" w:type="dxa"/>
        <w:jc w:val="center"/>
        <w:tblInd w:w="93" w:type="dxa"/>
        <w:tblLook w:val="04A0"/>
      </w:tblPr>
      <w:tblGrid>
        <w:gridCol w:w="1017"/>
        <w:gridCol w:w="1701"/>
        <w:gridCol w:w="2862"/>
      </w:tblGrid>
      <w:tr w:rsidR="002B4955" w:rsidRPr="002B4955" w:rsidTr="002B4955">
        <w:trPr>
          <w:trHeight w:val="315"/>
          <w:jc w:val="center"/>
        </w:trPr>
        <w:tc>
          <w:tcPr>
            <w:tcW w:w="5580" w:type="dxa"/>
            <w:gridSpan w:val="3"/>
            <w:tcBorders>
              <w:top w:val="single" w:sz="8" w:space="0" w:color="auto"/>
              <w:left w:val="single" w:sz="8" w:space="0" w:color="auto"/>
              <w:bottom w:val="single" w:sz="4" w:space="0" w:color="auto"/>
              <w:right w:val="single" w:sz="8" w:space="0" w:color="000000"/>
            </w:tcBorders>
            <w:shd w:val="clear" w:color="000000" w:fill="1F497D"/>
            <w:noWrap/>
            <w:vAlign w:val="center"/>
            <w:hideMark/>
          </w:tcPr>
          <w:p w:rsidR="002B4955" w:rsidRPr="002B4955" w:rsidRDefault="002B4955" w:rsidP="002B4955">
            <w:pPr>
              <w:spacing w:after="0" w:line="240" w:lineRule="auto"/>
              <w:jc w:val="center"/>
              <w:rPr>
                <w:rFonts w:ascii="Times New Roman" w:hAnsi="Times New Roman"/>
                <w:b/>
                <w:bCs/>
                <w:color w:val="FFFFFF"/>
                <w:sz w:val="24"/>
                <w:szCs w:val="24"/>
                <w:lang w:eastAsia="en-US"/>
              </w:rPr>
            </w:pPr>
            <w:r w:rsidRPr="002B4955">
              <w:rPr>
                <w:rFonts w:ascii="Times New Roman" w:hAnsi="Times New Roman"/>
                <w:b/>
                <w:bCs/>
                <w:color w:val="FFFFFF"/>
                <w:sz w:val="24"/>
                <w:szCs w:val="24"/>
                <w:lang w:eastAsia="en-US"/>
              </w:rPr>
              <w:t>Utah Sales Tax</w:t>
            </w:r>
          </w:p>
        </w:tc>
      </w:tr>
      <w:tr w:rsidR="002B4955" w:rsidRPr="002B4955" w:rsidTr="002B4955">
        <w:trPr>
          <w:trHeight w:val="315"/>
          <w:jc w:val="center"/>
        </w:trPr>
        <w:tc>
          <w:tcPr>
            <w:tcW w:w="1017" w:type="dxa"/>
            <w:tcBorders>
              <w:top w:val="nil"/>
              <w:left w:val="single" w:sz="8" w:space="0" w:color="auto"/>
              <w:bottom w:val="single" w:sz="4" w:space="0" w:color="auto"/>
              <w:right w:val="single" w:sz="4" w:space="0" w:color="auto"/>
            </w:tcBorders>
            <w:shd w:val="clear" w:color="000000" w:fill="8DB4E3"/>
            <w:noWrap/>
            <w:vAlign w:val="bottom"/>
            <w:hideMark/>
          </w:tcPr>
          <w:p w:rsidR="002B4955" w:rsidRPr="002B4955" w:rsidRDefault="002B4955" w:rsidP="002B4955">
            <w:pPr>
              <w:spacing w:after="0" w:line="240" w:lineRule="auto"/>
              <w:jc w:val="center"/>
              <w:rPr>
                <w:rFonts w:ascii="Times New Roman" w:hAnsi="Times New Roman"/>
                <w:sz w:val="24"/>
                <w:szCs w:val="24"/>
                <w:lang w:eastAsia="en-US"/>
              </w:rPr>
            </w:pPr>
            <w:r w:rsidRPr="002B4955">
              <w:rPr>
                <w:rFonts w:ascii="Times New Roman" w:hAnsi="Times New Roman"/>
                <w:sz w:val="24"/>
                <w:szCs w:val="24"/>
                <w:lang w:eastAsia="en-US"/>
              </w:rPr>
              <w:t> </w:t>
            </w:r>
          </w:p>
        </w:tc>
        <w:tc>
          <w:tcPr>
            <w:tcW w:w="1701" w:type="dxa"/>
            <w:tcBorders>
              <w:top w:val="nil"/>
              <w:left w:val="nil"/>
              <w:bottom w:val="single" w:sz="4" w:space="0" w:color="auto"/>
              <w:right w:val="single" w:sz="4" w:space="0" w:color="auto"/>
            </w:tcBorders>
            <w:shd w:val="clear" w:color="000000" w:fill="8DB4E3"/>
            <w:noWrap/>
            <w:vAlign w:val="bottom"/>
            <w:hideMark/>
          </w:tcPr>
          <w:p w:rsidR="002B4955" w:rsidRPr="002B4955" w:rsidRDefault="002B4955" w:rsidP="002B4955">
            <w:pPr>
              <w:spacing w:after="0" w:line="240" w:lineRule="auto"/>
              <w:jc w:val="center"/>
              <w:rPr>
                <w:rFonts w:ascii="Times New Roman" w:hAnsi="Times New Roman"/>
                <w:sz w:val="24"/>
                <w:szCs w:val="24"/>
                <w:lang w:eastAsia="en-US"/>
              </w:rPr>
            </w:pPr>
            <w:r w:rsidRPr="002B4955">
              <w:rPr>
                <w:rFonts w:ascii="Times New Roman" w:hAnsi="Times New Roman"/>
                <w:sz w:val="24"/>
                <w:szCs w:val="24"/>
                <w:lang w:eastAsia="en-US"/>
              </w:rPr>
              <w:t>Sales tax</w:t>
            </w:r>
          </w:p>
        </w:tc>
        <w:tc>
          <w:tcPr>
            <w:tcW w:w="2862" w:type="dxa"/>
            <w:tcBorders>
              <w:top w:val="nil"/>
              <w:left w:val="nil"/>
              <w:bottom w:val="single" w:sz="4" w:space="0" w:color="auto"/>
              <w:right w:val="single" w:sz="8" w:space="0" w:color="auto"/>
            </w:tcBorders>
            <w:shd w:val="clear" w:color="000000" w:fill="8DB4E3"/>
            <w:noWrap/>
            <w:vAlign w:val="bottom"/>
            <w:hideMark/>
          </w:tcPr>
          <w:p w:rsidR="002B4955" w:rsidRPr="002B4955" w:rsidRDefault="002B4955" w:rsidP="002B4955">
            <w:pPr>
              <w:spacing w:after="0" w:line="240" w:lineRule="auto"/>
              <w:jc w:val="center"/>
              <w:rPr>
                <w:rFonts w:ascii="Times New Roman" w:hAnsi="Times New Roman"/>
                <w:sz w:val="24"/>
                <w:szCs w:val="24"/>
                <w:lang w:eastAsia="en-US"/>
              </w:rPr>
            </w:pPr>
            <w:r w:rsidRPr="002B4955">
              <w:rPr>
                <w:rFonts w:ascii="Times New Roman" w:hAnsi="Times New Roman"/>
                <w:sz w:val="24"/>
                <w:szCs w:val="24"/>
                <w:lang w:eastAsia="en-US"/>
              </w:rPr>
              <w:t>Percent of total</w:t>
            </w:r>
          </w:p>
        </w:tc>
      </w:tr>
      <w:tr w:rsidR="002B4955" w:rsidRPr="002B4955" w:rsidTr="002B4955">
        <w:trPr>
          <w:trHeight w:val="300"/>
          <w:jc w:val="center"/>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State</w:t>
            </w:r>
          </w:p>
        </w:tc>
        <w:tc>
          <w:tcPr>
            <w:tcW w:w="1701" w:type="dxa"/>
            <w:tcBorders>
              <w:top w:val="nil"/>
              <w:left w:val="nil"/>
              <w:bottom w:val="single" w:sz="4" w:space="0" w:color="auto"/>
              <w:right w:val="single" w:sz="4" w:space="0" w:color="auto"/>
            </w:tcBorders>
            <w:shd w:val="clear" w:color="auto" w:fill="auto"/>
            <w:noWrap/>
            <w:vAlign w:val="bottom"/>
            <w:hideMark/>
          </w:tcPr>
          <w:p w:rsidR="002B4955" w:rsidRPr="002B4955" w:rsidRDefault="002B4955" w:rsidP="002B4955">
            <w:pPr>
              <w:spacing w:after="0" w:line="240" w:lineRule="auto"/>
              <w:jc w:val="right"/>
              <w:rPr>
                <w:rFonts w:ascii="Times New Roman" w:hAnsi="Times New Roman"/>
                <w:color w:val="000000"/>
                <w:lang w:eastAsia="en-US"/>
              </w:rPr>
            </w:pPr>
            <w:r w:rsidRPr="002B4955">
              <w:rPr>
                <w:rFonts w:ascii="Times New Roman" w:hAnsi="Times New Roman"/>
                <w:color w:val="000000"/>
                <w:lang w:eastAsia="en-US"/>
              </w:rPr>
              <w:t>4.70%</w:t>
            </w:r>
          </w:p>
        </w:tc>
        <w:tc>
          <w:tcPr>
            <w:tcW w:w="2862" w:type="dxa"/>
            <w:tcBorders>
              <w:top w:val="nil"/>
              <w:left w:val="nil"/>
              <w:bottom w:val="single" w:sz="4" w:space="0" w:color="auto"/>
              <w:right w:val="single" w:sz="8" w:space="0" w:color="auto"/>
            </w:tcBorders>
            <w:shd w:val="clear" w:color="auto" w:fill="auto"/>
            <w:noWrap/>
            <w:vAlign w:val="bottom"/>
            <w:hideMark/>
          </w:tcPr>
          <w:p w:rsidR="002B4955" w:rsidRPr="002B4955" w:rsidRDefault="002B4955" w:rsidP="002B4955">
            <w:pPr>
              <w:spacing w:after="0" w:line="240" w:lineRule="auto"/>
              <w:jc w:val="right"/>
              <w:rPr>
                <w:rFonts w:ascii="Times New Roman" w:hAnsi="Times New Roman"/>
                <w:color w:val="000000"/>
                <w:lang w:eastAsia="en-US"/>
              </w:rPr>
            </w:pPr>
            <w:r w:rsidRPr="002B4955">
              <w:rPr>
                <w:rFonts w:ascii="Times New Roman" w:hAnsi="Times New Roman"/>
                <w:color w:val="000000"/>
                <w:lang w:eastAsia="en-US"/>
              </w:rPr>
              <w:t>0.699404762</w:t>
            </w:r>
          </w:p>
        </w:tc>
      </w:tr>
      <w:tr w:rsidR="002B4955" w:rsidRPr="002B4955" w:rsidTr="002B4955">
        <w:trPr>
          <w:trHeight w:val="300"/>
          <w:jc w:val="center"/>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2B4955" w:rsidRPr="002B4955" w:rsidRDefault="002B4955" w:rsidP="002B4955">
            <w:pPr>
              <w:spacing w:after="0" w:line="240" w:lineRule="auto"/>
              <w:rPr>
                <w:rFonts w:ascii="Times New Roman" w:hAnsi="Times New Roman"/>
                <w:color w:val="000000"/>
                <w:lang w:eastAsia="en-US"/>
              </w:rPr>
            </w:pPr>
            <w:r w:rsidRPr="002B4955">
              <w:rPr>
                <w:rFonts w:ascii="Times New Roman" w:hAnsi="Times New Roman"/>
                <w:color w:val="000000"/>
                <w:lang w:eastAsia="en-US"/>
              </w:rPr>
              <w:t>Local</w:t>
            </w:r>
          </w:p>
        </w:tc>
        <w:tc>
          <w:tcPr>
            <w:tcW w:w="1701" w:type="dxa"/>
            <w:tcBorders>
              <w:top w:val="nil"/>
              <w:left w:val="nil"/>
              <w:bottom w:val="single" w:sz="4" w:space="0" w:color="auto"/>
              <w:right w:val="single" w:sz="4" w:space="0" w:color="auto"/>
            </w:tcBorders>
            <w:shd w:val="clear" w:color="auto" w:fill="auto"/>
            <w:noWrap/>
            <w:vAlign w:val="bottom"/>
            <w:hideMark/>
          </w:tcPr>
          <w:p w:rsidR="002B4955" w:rsidRPr="002B4955" w:rsidRDefault="002B4955" w:rsidP="002B4955">
            <w:pPr>
              <w:spacing w:after="0" w:line="240" w:lineRule="auto"/>
              <w:jc w:val="right"/>
              <w:rPr>
                <w:rFonts w:ascii="Times New Roman" w:hAnsi="Times New Roman"/>
                <w:color w:val="000000"/>
                <w:lang w:eastAsia="en-US"/>
              </w:rPr>
            </w:pPr>
            <w:r w:rsidRPr="002B4955">
              <w:rPr>
                <w:rFonts w:ascii="Times New Roman" w:hAnsi="Times New Roman"/>
                <w:color w:val="000000"/>
                <w:lang w:eastAsia="en-US"/>
              </w:rPr>
              <w:t>2.02%</w:t>
            </w:r>
          </w:p>
        </w:tc>
        <w:tc>
          <w:tcPr>
            <w:tcW w:w="2862" w:type="dxa"/>
            <w:tcBorders>
              <w:top w:val="nil"/>
              <w:left w:val="nil"/>
              <w:bottom w:val="single" w:sz="4" w:space="0" w:color="auto"/>
              <w:right w:val="single" w:sz="8" w:space="0" w:color="auto"/>
            </w:tcBorders>
            <w:shd w:val="clear" w:color="auto" w:fill="auto"/>
            <w:noWrap/>
            <w:vAlign w:val="bottom"/>
            <w:hideMark/>
          </w:tcPr>
          <w:p w:rsidR="002B4955" w:rsidRPr="002B4955" w:rsidRDefault="002B4955" w:rsidP="002B4955">
            <w:pPr>
              <w:spacing w:after="0" w:line="240" w:lineRule="auto"/>
              <w:jc w:val="right"/>
              <w:rPr>
                <w:rFonts w:ascii="Times New Roman" w:hAnsi="Times New Roman"/>
                <w:color w:val="000000"/>
                <w:lang w:eastAsia="en-US"/>
              </w:rPr>
            </w:pPr>
            <w:r w:rsidRPr="002B4955">
              <w:rPr>
                <w:rFonts w:ascii="Times New Roman" w:hAnsi="Times New Roman"/>
                <w:color w:val="000000"/>
                <w:lang w:eastAsia="en-US"/>
              </w:rPr>
              <w:t>0.300595238</w:t>
            </w:r>
          </w:p>
        </w:tc>
      </w:tr>
      <w:tr w:rsidR="002B4955" w:rsidRPr="002B4955" w:rsidTr="002B4955">
        <w:trPr>
          <w:trHeight w:val="315"/>
          <w:jc w:val="center"/>
        </w:trPr>
        <w:tc>
          <w:tcPr>
            <w:tcW w:w="1017" w:type="dxa"/>
            <w:tcBorders>
              <w:top w:val="nil"/>
              <w:left w:val="single" w:sz="8" w:space="0" w:color="auto"/>
              <w:bottom w:val="single" w:sz="8" w:space="0" w:color="auto"/>
              <w:right w:val="single" w:sz="4" w:space="0" w:color="auto"/>
            </w:tcBorders>
            <w:shd w:val="clear" w:color="auto" w:fill="auto"/>
            <w:noWrap/>
            <w:vAlign w:val="bottom"/>
            <w:hideMark/>
          </w:tcPr>
          <w:p w:rsidR="002B4955" w:rsidRPr="002B4955" w:rsidRDefault="002B4955" w:rsidP="002B4955">
            <w:pPr>
              <w:spacing w:after="0" w:line="240" w:lineRule="auto"/>
              <w:rPr>
                <w:rFonts w:ascii="Times New Roman" w:hAnsi="Times New Roman"/>
                <w:b/>
                <w:bCs/>
                <w:color w:val="000000"/>
                <w:lang w:eastAsia="en-US"/>
              </w:rPr>
            </w:pPr>
            <w:r w:rsidRPr="002B4955">
              <w:rPr>
                <w:rFonts w:ascii="Times New Roman" w:hAnsi="Times New Roman"/>
                <w:b/>
                <w:bCs/>
                <w:color w:val="000000"/>
                <w:lang w:eastAsia="en-US"/>
              </w:rPr>
              <w:t>Total</w:t>
            </w:r>
          </w:p>
        </w:tc>
        <w:tc>
          <w:tcPr>
            <w:tcW w:w="1701" w:type="dxa"/>
            <w:tcBorders>
              <w:top w:val="nil"/>
              <w:left w:val="nil"/>
              <w:bottom w:val="single" w:sz="8" w:space="0" w:color="auto"/>
              <w:right w:val="single" w:sz="4" w:space="0" w:color="auto"/>
            </w:tcBorders>
            <w:shd w:val="clear" w:color="auto" w:fill="auto"/>
            <w:noWrap/>
            <w:vAlign w:val="bottom"/>
            <w:hideMark/>
          </w:tcPr>
          <w:p w:rsidR="002B4955" w:rsidRPr="002B4955" w:rsidRDefault="002B4955" w:rsidP="002B4955">
            <w:pPr>
              <w:spacing w:after="0" w:line="240" w:lineRule="auto"/>
              <w:jc w:val="right"/>
              <w:rPr>
                <w:rFonts w:ascii="Times New Roman" w:hAnsi="Times New Roman"/>
                <w:b/>
                <w:bCs/>
                <w:color w:val="000000"/>
                <w:lang w:eastAsia="en-US"/>
              </w:rPr>
            </w:pPr>
            <w:r w:rsidRPr="002B4955">
              <w:rPr>
                <w:rFonts w:ascii="Times New Roman" w:hAnsi="Times New Roman"/>
                <w:b/>
                <w:bCs/>
                <w:color w:val="000000"/>
                <w:lang w:eastAsia="en-US"/>
              </w:rPr>
              <w:t>6.72%</w:t>
            </w:r>
          </w:p>
        </w:tc>
        <w:tc>
          <w:tcPr>
            <w:tcW w:w="2862" w:type="dxa"/>
            <w:tcBorders>
              <w:top w:val="nil"/>
              <w:left w:val="nil"/>
              <w:bottom w:val="single" w:sz="8" w:space="0" w:color="auto"/>
              <w:right w:val="single" w:sz="8" w:space="0" w:color="auto"/>
            </w:tcBorders>
            <w:shd w:val="clear" w:color="auto" w:fill="auto"/>
            <w:noWrap/>
            <w:vAlign w:val="bottom"/>
            <w:hideMark/>
          </w:tcPr>
          <w:p w:rsidR="002B4955" w:rsidRPr="002B4955" w:rsidRDefault="002B4955" w:rsidP="002B4955">
            <w:pPr>
              <w:spacing w:after="0" w:line="240" w:lineRule="auto"/>
              <w:jc w:val="right"/>
              <w:rPr>
                <w:rFonts w:ascii="Times New Roman" w:hAnsi="Times New Roman"/>
                <w:b/>
                <w:bCs/>
                <w:color w:val="000000"/>
                <w:lang w:eastAsia="en-US"/>
              </w:rPr>
            </w:pPr>
            <w:r w:rsidRPr="002B4955">
              <w:rPr>
                <w:rFonts w:ascii="Times New Roman" w:hAnsi="Times New Roman"/>
                <w:b/>
                <w:bCs/>
                <w:color w:val="000000"/>
                <w:lang w:eastAsia="en-US"/>
              </w:rPr>
              <w:t>1</w:t>
            </w:r>
          </w:p>
        </w:tc>
      </w:tr>
    </w:tbl>
    <w:p w:rsidR="002B4955" w:rsidRPr="002B4955" w:rsidRDefault="002B4955" w:rsidP="002B4955">
      <w:pPr>
        <w:sectPr w:rsidR="002B4955" w:rsidRPr="002B4955" w:rsidSect="002B4955">
          <w:pgSz w:w="12240" w:h="15840"/>
          <w:pgMar w:top="288" w:right="1440" w:bottom="576" w:left="1440" w:header="720" w:footer="720" w:gutter="0"/>
          <w:cols w:space="720"/>
          <w:docGrid w:linePitch="360"/>
        </w:sectPr>
      </w:pPr>
    </w:p>
    <w:p w:rsidR="003F43BC" w:rsidRDefault="003F43BC" w:rsidP="003F43BC">
      <w:pPr>
        <w:rPr>
          <w:rFonts w:ascii="Times New Roman" w:hAnsi="Times New Roman"/>
          <w:b/>
          <w:color w:val="548DD4" w:themeColor="text2" w:themeTint="99"/>
          <w:sz w:val="28"/>
          <w:szCs w:val="24"/>
        </w:rPr>
      </w:pPr>
      <w:r w:rsidRPr="002B4955">
        <w:rPr>
          <w:rFonts w:ascii="Times New Roman" w:hAnsi="Times New Roman"/>
          <w:b/>
          <w:color w:val="548DD4" w:themeColor="text2" w:themeTint="99"/>
          <w:sz w:val="28"/>
          <w:szCs w:val="24"/>
        </w:rPr>
        <w:lastRenderedPageBreak/>
        <w:t>Appendix</w:t>
      </w:r>
      <w:r>
        <w:t xml:space="preserve"> </w:t>
      </w:r>
      <w:r w:rsidRPr="002B4955">
        <w:rPr>
          <w:rFonts w:ascii="Times New Roman" w:hAnsi="Times New Roman"/>
          <w:b/>
          <w:color w:val="548DD4" w:themeColor="text2" w:themeTint="99"/>
          <w:sz w:val="28"/>
          <w:szCs w:val="24"/>
        </w:rPr>
        <w:t>VII</w:t>
      </w:r>
      <w:r>
        <w:rPr>
          <w:rFonts w:ascii="Times New Roman" w:hAnsi="Times New Roman"/>
          <w:b/>
          <w:color w:val="548DD4" w:themeColor="text2" w:themeTint="99"/>
          <w:sz w:val="28"/>
          <w:szCs w:val="24"/>
        </w:rPr>
        <w:t>I – Detailed Tax Information</w:t>
      </w:r>
    </w:p>
    <w:p w:rsidR="002B4955" w:rsidRDefault="003F43BC" w:rsidP="00507D37">
      <w:pPr>
        <w:rPr>
          <w:rFonts w:ascii="Times New Roman" w:hAnsi="Times New Roman"/>
          <w:sz w:val="24"/>
          <w:szCs w:val="24"/>
        </w:rPr>
      </w:pPr>
      <w:r w:rsidRPr="003F43BC">
        <w:rPr>
          <w:rFonts w:ascii="Times New Roman" w:hAnsi="Times New Roman"/>
          <w:sz w:val="24"/>
          <w:szCs w:val="24"/>
        </w:rPr>
        <w:t>Scenario 1 2014</w:t>
      </w:r>
      <w:r>
        <w:rPr>
          <w:rFonts w:ascii="Times New Roman" w:hAnsi="Times New Roman"/>
          <w:sz w:val="24"/>
          <w:szCs w:val="24"/>
        </w:rPr>
        <w:t xml:space="preserve"> (1/2)</w:t>
      </w:r>
    </w:p>
    <w:tbl>
      <w:tblPr>
        <w:tblW w:w="14880" w:type="dxa"/>
        <w:tblInd w:w="91" w:type="dxa"/>
        <w:tblLook w:val="04A0"/>
      </w:tblPr>
      <w:tblGrid>
        <w:gridCol w:w="1230"/>
        <w:gridCol w:w="3600"/>
        <w:gridCol w:w="2780"/>
        <w:gridCol w:w="2000"/>
        <w:gridCol w:w="2340"/>
        <w:gridCol w:w="1350"/>
        <w:gridCol w:w="1680"/>
      </w:tblGrid>
      <w:tr w:rsidR="00144576" w:rsidRPr="00144576" w:rsidTr="00144576">
        <w:trPr>
          <w:trHeight w:val="330"/>
        </w:trPr>
        <w:tc>
          <w:tcPr>
            <w:tcW w:w="14880" w:type="dxa"/>
            <w:gridSpan w:val="7"/>
            <w:tcBorders>
              <w:top w:val="single" w:sz="8" w:space="0" w:color="auto"/>
              <w:left w:val="single" w:sz="8" w:space="0" w:color="auto"/>
              <w:bottom w:val="nil"/>
              <w:right w:val="single" w:sz="8" w:space="0" w:color="000000"/>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State and Local Tax</w:t>
            </w:r>
          </w:p>
        </w:tc>
      </w:tr>
      <w:tr w:rsidR="00144576" w:rsidRPr="00144576" w:rsidTr="00144576">
        <w:trPr>
          <w:trHeight w:val="315"/>
        </w:trPr>
        <w:tc>
          <w:tcPr>
            <w:tcW w:w="1200" w:type="dxa"/>
            <w:tcBorders>
              <w:top w:val="single" w:sz="8" w:space="0" w:color="auto"/>
              <w:left w:val="single" w:sz="8" w:space="0" w:color="auto"/>
              <w:bottom w:val="single" w:sz="4" w:space="0" w:color="auto"/>
              <w:right w:val="single" w:sz="8" w:space="0" w:color="auto"/>
            </w:tcBorders>
            <w:shd w:val="clear" w:color="000000" w:fill="8DB4E3"/>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Allocation</w:t>
            </w:r>
          </w:p>
        </w:tc>
        <w:tc>
          <w:tcPr>
            <w:tcW w:w="360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78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0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4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8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68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Dividends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$868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$563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$998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Split (70/30)</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Sales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$427,201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Property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$290,900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Motor Vehicle Lic</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$14,097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Severance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$10,487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Other 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$18,223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S/L NonTaxes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$76,636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$29,232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$250,975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NonTaxes (Fines- Fees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$38,968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Motor Vehicle License</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$21,687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Property 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$4,556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200" w:type="dxa"/>
            <w:tcBorders>
              <w:top w:val="nil"/>
              <w:left w:val="single" w:sz="8" w:space="0" w:color="auto"/>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Other Tax (Fish/Hunt)</w:t>
            </w:r>
          </w:p>
        </w:tc>
        <w:tc>
          <w:tcPr>
            <w:tcW w:w="2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$13,730 </w:t>
            </w:r>
          </w:p>
        </w:tc>
        <w:tc>
          <w:tcPr>
            <w:tcW w:w="16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36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State and Local Tax</w:t>
            </w:r>
          </w:p>
        </w:tc>
        <w:tc>
          <w:tcPr>
            <w:tcW w:w="2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$1,562 </w:t>
            </w:r>
          </w:p>
        </w:tc>
        <w:tc>
          <w:tcPr>
            <w:tcW w:w="20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23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$837,544 </w:t>
            </w:r>
          </w:p>
        </w:tc>
        <w:tc>
          <w:tcPr>
            <w:tcW w:w="12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$329,916 </w:t>
            </w:r>
          </w:p>
        </w:tc>
        <w:tc>
          <w:tcPr>
            <w:tcW w:w="16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$30,101 </w:t>
            </w:r>
          </w:p>
        </w:tc>
      </w:tr>
      <w:tr w:rsidR="00144576" w:rsidRPr="00144576" w:rsidTr="00144576">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36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6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$1,199,123.00 </w:t>
            </w:r>
          </w:p>
        </w:tc>
      </w:tr>
    </w:tbl>
    <w:p w:rsidR="003F43BC" w:rsidRDefault="003F43BC" w:rsidP="003F43BC">
      <w:pPr>
        <w:jc w:val="center"/>
        <w:rPr>
          <w:rFonts w:ascii="Times New Roman" w:hAnsi="Times New Roman"/>
          <w:sz w:val="24"/>
          <w:szCs w:val="24"/>
        </w:rPr>
      </w:pPr>
    </w:p>
    <w:p w:rsidR="003F43BC" w:rsidRDefault="003F43BC" w:rsidP="003F43BC">
      <w:pPr>
        <w:tabs>
          <w:tab w:val="left" w:pos="4590"/>
        </w:tabs>
        <w:rPr>
          <w:rFonts w:ascii="Times New Roman" w:hAnsi="Times New Roman"/>
          <w:sz w:val="24"/>
          <w:szCs w:val="24"/>
        </w:rPr>
      </w:pPr>
      <w:r>
        <w:rPr>
          <w:rFonts w:ascii="Times New Roman" w:hAnsi="Times New Roman"/>
          <w:sz w:val="24"/>
          <w:szCs w:val="24"/>
        </w:rPr>
        <w:lastRenderedPageBreak/>
        <w:tab/>
      </w:r>
    </w:p>
    <w:p w:rsidR="003F43BC" w:rsidRDefault="003F43BC" w:rsidP="003F43BC">
      <w:pPr>
        <w:rPr>
          <w:rFonts w:ascii="Times New Roman" w:hAnsi="Times New Roman"/>
          <w:sz w:val="24"/>
          <w:szCs w:val="24"/>
        </w:rPr>
      </w:pPr>
      <w:r w:rsidRPr="003F43BC">
        <w:rPr>
          <w:rFonts w:ascii="Times New Roman" w:hAnsi="Times New Roman"/>
          <w:sz w:val="24"/>
          <w:szCs w:val="24"/>
        </w:rPr>
        <w:t>Scenario 1 2014</w:t>
      </w:r>
      <w:r>
        <w:rPr>
          <w:rFonts w:ascii="Times New Roman" w:hAnsi="Times New Roman"/>
          <w:sz w:val="24"/>
          <w:szCs w:val="24"/>
        </w:rPr>
        <w:t xml:space="preserve"> (2/2)</w:t>
      </w:r>
    </w:p>
    <w:p w:rsidR="003F43BC" w:rsidRPr="003F43BC" w:rsidRDefault="003F43BC" w:rsidP="003F43BC">
      <w:pPr>
        <w:tabs>
          <w:tab w:val="left" w:pos="4590"/>
        </w:tabs>
        <w:rPr>
          <w:rFonts w:ascii="Times New Roman" w:hAnsi="Times New Roman"/>
          <w:sz w:val="24"/>
          <w:szCs w:val="24"/>
        </w:rPr>
      </w:pPr>
    </w:p>
    <w:tbl>
      <w:tblPr>
        <w:tblW w:w="13680" w:type="dxa"/>
        <w:tblInd w:w="91" w:type="dxa"/>
        <w:tblLook w:val="04A0"/>
      </w:tblPr>
      <w:tblGrid>
        <w:gridCol w:w="3600"/>
        <w:gridCol w:w="2780"/>
        <w:gridCol w:w="2000"/>
        <w:gridCol w:w="2340"/>
        <w:gridCol w:w="1350"/>
        <w:gridCol w:w="1680"/>
      </w:tblGrid>
      <w:tr w:rsidR="00144576" w:rsidRPr="00144576" w:rsidTr="00144576">
        <w:trPr>
          <w:trHeight w:val="315"/>
        </w:trPr>
        <w:tc>
          <w:tcPr>
            <w:tcW w:w="1368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0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7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0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4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6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$512,205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$59,073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$665,535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$69,727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$29,422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$216,170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$673,415 </w:t>
            </w:r>
          </w:p>
        </w:tc>
        <w:tc>
          <w:tcPr>
            <w:tcW w:w="16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0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7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$1,177,740 </w:t>
            </w:r>
          </w:p>
        </w:tc>
        <w:tc>
          <w:tcPr>
            <w:tcW w:w="200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$59,073 </w:t>
            </w:r>
          </w:p>
        </w:tc>
        <w:tc>
          <w:tcPr>
            <w:tcW w:w="234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$99,149 </w:t>
            </w:r>
          </w:p>
        </w:tc>
        <w:tc>
          <w:tcPr>
            <w:tcW w:w="12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$673,415 </w:t>
            </w:r>
          </w:p>
        </w:tc>
        <w:tc>
          <w:tcPr>
            <w:tcW w:w="16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$216,170 </w:t>
            </w:r>
          </w:p>
        </w:tc>
      </w:tr>
      <w:tr w:rsidR="00144576" w:rsidRPr="00144576" w:rsidTr="00144576">
        <w:trPr>
          <w:trHeight w:val="31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7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0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6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$2,225,547 </w:t>
            </w:r>
          </w:p>
        </w:tc>
      </w:tr>
    </w:tbl>
    <w:p w:rsidR="003F43BC" w:rsidRDefault="003F43BC" w:rsidP="003F43BC">
      <w:pPr>
        <w:jc w:val="center"/>
        <w:rPr>
          <w:rFonts w:ascii="Times New Roman" w:hAnsi="Times New Roman"/>
          <w:sz w:val="24"/>
          <w:szCs w:val="24"/>
        </w:rPr>
      </w:pPr>
    </w:p>
    <w:p w:rsidR="003F43BC" w:rsidRDefault="003F43BC">
      <w:pPr>
        <w:spacing w:after="0" w:line="240" w:lineRule="auto"/>
        <w:rPr>
          <w:rFonts w:ascii="Times New Roman" w:hAnsi="Times New Roman"/>
          <w:sz w:val="24"/>
          <w:szCs w:val="24"/>
        </w:rPr>
      </w:pPr>
      <w:r>
        <w:rPr>
          <w:rFonts w:ascii="Times New Roman" w:hAnsi="Times New Roman"/>
          <w:sz w:val="24"/>
          <w:szCs w:val="24"/>
        </w:rPr>
        <w:br w:type="page"/>
      </w:r>
    </w:p>
    <w:p w:rsidR="003F43BC" w:rsidRDefault="003F43BC" w:rsidP="003F43BC">
      <w:pPr>
        <w:rPr>
          <w:rFonts w:ascii="Times New Roman" w:hAnsi="Times New Roman"/>
          <w:sz w:val="24"/>
          <w:szCs w:val="24"/>
        </w:rPr>
      </w:pPr>
      <w:r>
        <w:rPr>
          <w:rFonts w:ascii="Times New Roman" w:hAnsi="Times New Roman"/>
          <w:sz w:val="24"/>
          <w:szCs w:val="24"/>
        </w:rPr>
        <w:lastRenderedPageBreak/>
        <w:t>Scenario 1 2016 (1/2)</w:t>
      </w:r>
    </w:p>
    <w:p w:rsidR="003F43BC" w:rsidRDefault="003F43BC" w:rsidP="003F43BC">
      <w:pPr>
        <w:rPr>
          <w:rFonts w:ascii="Times New Roman" w:hAnsi="Times New Roman"/>
          <w:sz w:val="24"/>
          <w:szCs w:val="24"/>
        </w:rPr>
      </w:pPr>
    </w:p>
    <w:tbl>
      <w:tblPr>
        <w:tblW w:w="15240" w:type="dxa"/>
        <w:tblInd w:w="91" w:type="dxa"/>
        <w:tblLook w:val="04A0"/>
      </w:tblPr>
      <w:tblGrid>
        <w:gridCol w:w="1320"/>
        <w:gridCol w:w="3640"/>
        <w:gridCol w:w="2860"/>
        <w:gridCol w:w="2060"/>
        <w:gridCol w:w="2320"/>
        <w:gridCol w:w="1350"/>
        <w:gridCol w:w="1780"/>
      </w:tblGrid>
      <w:tr w:rsidR="00144576" w:rsidRPr="00144576" w:rsidTr="00144576">
        <w:trPr>
          <w:trHeight w:val="330"/>
        </w:trPr>
        <w:tc>
          <w:tcPr>
            <w:tcW w:w="15240" w:type="dxa"/>
            <w:gridSpan w:val="7"/>
            <w:tcBorders>
              <w:top w:val="single" w:sz="8" w:space="0" w:color="auto"/>
              <w:left w:val="single" w:sz="8" w:space="0" w:color="auto"/>
              <w:bottom w:val="nil"/>
              <w:right w:val="single" w:sz="8" w:space="0" w:color="000000"/>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State and Local Tax</w:t>
            </w:r>
          </w:p>
        </w:tc>
      </w:tr>
      <w:tr w:rsidR="00144576" w:rsidRPr="00144576" w:rsidTr="00144576">
        <w:trPr>
          <w:trHeight w:val="315"/>
        </w:trPr>
        <w:tc>
          <w:tcPr>
            <w:tcW w:w="1320" w:type="dxa"/>
            <w:tcBorders>
              <w:top w:val="single" w:sz="8" w:space="0" w:color="auto"/>
              <w:left w:val="single" w:sz="8" w:space="0" w:color="auto"/>
              <w:bottom w:val="single" w:sz="4" w:space="0" w:color="auto"/>
              <w:right w:val="single" w:sz="8" w:space="0" w:color="auto"/>
            </w:tcBorders>
            <w:shd w:val="clear" w:color="000000" w:fill="8DB4E3"/>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Allocation</w:t>
            </w:r>
          </w:p>
        </w:tc>
        <w:tc>
          <w:tcPr>
            <w:tcW w:w="364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86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6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2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6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78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Dividends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$1,597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$1,036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$1,836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Split (70/30)</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Sales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$786,931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Property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$535,855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Motor Vehicle Lic</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$25,967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Severance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$19,318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Other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$33,567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S/L NonTaxes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$141,168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$53,785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$461,720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NonTaxes (Fines- Fees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$71,690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Motor Vehicle License</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$39,897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32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Property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$8,381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320" w:type="dxa"/>
            <w:tcBorders>
              <w:top w:val="nil"/>
              <w:left w:val="single" w:sz="8" w:space="0" w:color="auto"/>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Other Tax (Fish/Hunt)</w:t>
            </w:r>
          </w:p>
        </w:tc>
        <w:tc>
          <w:tcPr>
            <w:tcW w:w="286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$25,260 </w:t>
            </w:r>
          </w:p>
        </w:tc>
        <w:tc>
          <w:tcPr>
            <w:tcW w:w="1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320" w:type="dxa"/>
            <w:tcBorders>
              <w:top w:val="nil"/>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36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State and Local Tax</w:t>
            </w:r>
          </w:p>
        </w:tc>
        <w:tc>
          <w:tcPr>
            <w:tcW w:w="286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$2,872 </w:t>
            </w:r>
          </w:p>
        </w:tc>
        <w:tc>
          <w:tcPr>
            <w:tcW w:w="206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232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$1,542,807 </w:t>
            </w:r>
          </w:p>
        </w:tc>
        <w:tc>
          <w:tcPr>
            <w:tcW w:w="126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$606,948 </w:t>
            </w:r>
          </w:p>
        </w:tc>
        <w:tc>
          <w:tcPr>
            <w:tcW w:w="1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$55,382 </w:t>
            </w:r>
          </w:p>
        </w:tc>
      </w:tr>
      <w:tr w:rsidR="00144576" w:rsidRPr="00144576" w:rsidTr="00144576">
        <w:trPr>
          <w:trHeight w:val="315"/>
        </w:trPr>
        <w:tc>
          <w:tcPr>
            <w:tcW w:w="1320" w:type="dxa"/>
            <w:tcBorders>
              <w:top w:val="nil"/>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36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86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6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2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6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$2,208,009.00 </w:t>
            </w:r>
          </w:p>
        </w:tc>
      </w:tr>
    </w:tbl>
    <w:p w:rsidR="003F43BC" w:rsidRDefault="003F43BC" w:rsidP="003F43BC">
      <w:pPr>
        <w:rPr>
          <w:rFonts w:ascii="Times New Roman" w:hAnsi="Times New Roman"/>
          <w:sz w:val="24"/>
          <w:szCs w:val="24"/>
        </w:rPr>
      </w:pPr>
    </w:p>
    <w:p w:rsidR="003F43BC" w:rsidRDefault="003F43BC" w:rsidP="003F43BC">
      <w:pPr>
        <w:rPr>
          <w:rFonts w:ascii="Times New Roman" w:hAnsi="Times New Roman"/>
          <w:sz w:val="24"/>
          <w:szCs w:val="24"/>
        </w:rPr>
      </w:pPr>
      <w:r>
        <w:rPr>
          <w:rFonts w:ascii="Times New Roman" w:hAnsi="Times New Roman"/>
          <w:sz w:val="24"/>
          <w:szCs w:val="24"/>
        </w:rPr>
        <w:lastRenderedPageBreak/>
        <w:t>Scenario 1 2016 (2/2)</w:t>
      </w:r>
    </w:p>
    <w:p w:rsidR="003F43BC" w:rsidRDefault="003F43BC" w:rsidP="003F43BC">
      <w:pPr>
        <w:jc w:val="center"/>
        <w:rPr>
          <w:rFonts w:ascii="Times New Roman" w:hAnsi="Times New Roman"/>
          <w:sz w:val="24"/>
          <w:szCs w:val="24"/>
        </w:rPr>
      </w:pPr>
    </w:p>
    <w:tbl>
      <w:tblPr>
        <w:tblW w:w="13920" w:type="dxa"/>
        <w:tblInd w:w="91" w:type="dxa"/>
        <w:tblLook w:val="04A0"/>
      </w:tblPr>
      <w:tblGrid>
        <w:gridCol w:w="3640"/>
        <w:gridCol w:w="2860"/>
        <w:gridCol w:w="2060"/>
        <w:gridCol w:w="2320"/>
        <w:gridCol w:w="1350"/>
        <w:gridCol w:w="1780"/>
      </w:tblGrid>
      <w:tr w:rsidR="00144576" w:rsidRPr="00144576" w:rsidTr="00144576">
        <w:trPr>
          <w:trHeight w:val="315"/>
        </w:trPr>
        <w:tc>
          <w:tcPr>
            <w:tcW w:w="1392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4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7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$942,053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$108,877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$1,224,061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$128,441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$54,197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$397,729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$1,238,884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4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$2,166,114 </w:t>
            </w:r>
          </w:p>
        </w:tc>
        <w:tc>
          <w:tcPr>
            <w:tcW w:w="20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$108,877 </w:t>
            </w:r>
          </w:p>
        </w:tc>
        <w:tc>
          <w:tcPr>
            <w:tcW w:w="232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$182,638 </w:t>
            </w:r>
          </w:p>
        </w:tc>
        <w:tc>
          <w:tcPr>
            <w:tcW w:w="12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$1,238,884 </w:t>
            </w:r>
          </w:p>
        </w:tc>
        <w:tc>
          <w:tcPr>
            <w:tcW w:w="17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$397,729 </w:t>
            </w:r>
          </w:p>
        </w:tc>
      </w:tr>
      <w:tr w:rsidR="00144576" w:rsidRPr="00144576" w:rsidTr="00144576">
        <w:trPr>
          <w:trHeight w:val="315"/>
        </w:trPr>
        <w:tc>
          <w:tcPr>
            <w:tcW w:w="3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7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$4,094,242 </w:t>
            </w:r>
          </w:p>
        </w:tc>
      </w:tr>
    </w:tbl>
    <w:p w:rsidR="00034E5E" w:rsidRDefault="00034E5E" w:rsidP="003F43BC">
      <w:pPr>
        <w:jc w:val="center"/>
        <w:rPr>
          <w:rFonts w:ascii="Times New Roman" w:hAnsi="Times New Roman"/>
          <w:sz w:val="24"/>
          <w:szCs w:val="24"/>
        </w:rPr>
      </w:pPr>
    </w:p>
    <w:p w:rsidR="00034E5E" w:rsidRDefault="00034E5E">
      <w:pPr>
        <w:spacing w:after="0" w:line="240" w:lineRule="auto"/>
        <w:rPr>
          <w:rFonts w:ascii="Times New Roman" w:hAnsi="Times New Roman"/>
          <w:sz w:val="24"/>
          <w:szCs w:val="24"/>
        </w:rPr>
      </w:pPr>
      <w:r>
        <w:rPr>
          <w:rFonts w:ascii="Times New Roman" w:hAnsi="Times New Roman"/>
          <w:sz w:val="24"/>
          <w:szCs w:val="24"/>
        </w:rPr>
        <w:br w:type="page"/>
      </w:r>
    </w:p>
    <w:p w:rsidR="00034E5E" w:rsidRDefault="00034E5E" w:rsidP="00034E5E">
      <w:pPr>
        <w:rPr>
          <w:rFonts w:ascii="Times New Roman" w:hAnsi="Times New Roman"/>
          <w:sz w:val="24"/>
          <w:szCs w:val="24"/>
        </w:rPr>
      </w:pPr>
      <w:r>
        <w:rPr>
          <w:rFonts w:ascii="Times New Roman" w:hAnsi="Times New Roman"/>
          <w:sz w:val="24"/>
          <w:szCs w:val="24"/>
        </w:rPr>
        <w:lastRenderedPageBreak/>
        <w:t>Scenario 1 2023 (1/2)</w:t>
      </w:r>
    </w:p>
    <w:p w:rsidR="00034E5E" w:rsidRDefault="004927C1" w:rsidP="00034E5E">
      <w:pPr>
        <w:rPr>
          <w:rFonts w:ascii="Times New Roman" w:hAnsi="Times New Roman"/>
          <w:sz w:val="24"/>
          <w:szCs w:val="24"/>
        </w:rPr>
      </w:pPr>
      <w:r w:rsidRPr="004927C1">
        <w:rPr>
          <w:noProof/>
          <w:szCs w:val="24"/>
          <w:lang w:eastAsia="en-US"/>
        </w:rPr>
        <w:drawing>
          <wp:inline distT="0" distB="0" distL="0" distR="0">
            <wp:extent cx="9256624" cy="3496626"/>
            <wp:effectExtent l="19050" t="0" r="1676"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a:stretch>
                      <a:fillRect/>
                    </a:stretch>
                  </pic:blipFill>
                  <pic:spPr bwMode="auto">
                    <a:xfrm>
                      <a:off x="0" y="0"/>
                      <a:ext cx="9257871" cy="3497097"/>
                    </a:xfrm>
                    <a:prstGeom prst="rect">
                      <a:avLst/>
                    </a:prstGeom>
                    <a:noFill/>
                    <a:ln w="9525">
                      <a:noFill/>
                      <a:miter lim="800000"/>
                      <a:headEnd/>
                      <a:tailEnd/>
                    </a:ln>
                  </pic:spPr>
                </pic:pic>
              </a:graphicData>
            </a:graphic>
          </wp:inline>
        </w:drawing>
      </w:r>
    </w:p>
    <w:p w:rsidR="00034E5E" w:rsidRDefault="00034E5E">
      <w:pPr>
        <w:spacing w:after="0" w:line="240" w:lineRule="auto"/>
        <w:rPr>
          <w:rFonts w:ascii="Times New Roman" w:hAnsi="Times New Roman"/>
          <w:sz w:val="24"/>
          <w:szCs w:val="24"/>
        </w:rPr>
      </w:pPr>
      <w:r>
        <w:rPr>
          <w:rFonts w:ascii="Times New Roman" w:hAnsi="Times New Roman"/>
          <w:sz w:val="24"/>
          <w:szCs w:val="24"/>
        </w:rPr>
        <w:br w:type="page"/>
      </w:r>
    </w:p>
    <w:p w:rsidR="00034E5E" w:rsidRDefault="00034E5E" w:rsidP="00034E5E">
      <w:pPr>
        <w:rPr>
          <w:rFonts w:ascii="Times New Roman" w:hAnsi="Times New Roman"/>
          <w:sz w:val="24"/>
          <w:szCs w:val="24"/>
        </w:rPr>
      </w:pPr>
      <w:r>
        <w:rPr>
          <w:rFonts w:ascii="Times New Roman" w:hAnsi="Times New Roman"/>
          <w:sz w:val="24"/>
          <w:szCs w:val="24"/>
        </w:rPr>
        <w:lastRenderedPageBreak/>
        <w:t>Scenario 1 2023 (2/2)</w:t>
      </w:r>
    </w:p>
    <w:tbl>
      <w:tblPr>
        <w:tblW w:w="13860" w:type="dxa"/>
        <w:tblInd w:w="91" w:type="dxa"/>
        <w:tblLook w:val="04A0"/>
      </w:tblPr>
      <w:tblGrid>
        <w:gridCol w:w="3640"/>
        <w:gridCol w:w="2860"/>
        <w:gridCol w:w="2060"/>
        <w:gridCol w:w="2320"/>
        <w:gridCol w:w="1350"/>
        <w:gridCol w:w="1720"/>
      </w:tblGrid>
      <w:tr w:rsidR="00144576" w:rsidRPr="00144576" w:rsidTr="00144576">
        <w:trPr>
          <w:trHeight w:val="315"/>
        </w:trPr>
        <w:tc>
          <w:tcPr>
            <w:tcW w:w="1386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4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72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$1,547,456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$180,135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$2,010,694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$212,094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$89,495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$654,194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$2,036,903 </w:t>
            </w:r>
          </w:p>
        </w:tc>
        <w:tc>
          <w:tcPr>
            <w:tcW w:w="17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4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$3,558,151 </w:t>
            </w:r>
          </w:p>
        </w:tc>
        <w:tc>
          <w:tcPr>
            <w:tcW w:w="20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$180,135 </w:t>
            </w:r>
          </w:p>
        </w:tc>
        <w:tc>
          <w:tcPr>
            <w:tcW w:w="232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$301,588 </w:t>
            </w:r>
          </w:p>
        </w:tc>
        <w:tc>
          <w:tcPr>
            <w:tcW w:w="12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$2,036,903 </w:t>
            </w:r>
          </w:p>
        </w:tc>
        <w:tc>
          <w:tcPr>
            <w:tcW w:w="172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$654,194 </w:t>
            </w:r>
          </w:p>
        </w:tc>
      </w:tr>
      <w:tr w:rsidR="00144576" w:rsidRPr="00144576" w:rsidTr="00144576">
        <w:trPr>
          <w:trHeight w:val="315"/>
        </w:trPr>
        <w:tc>
          <w:tcPr>
            <w:tcW w:w="3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$6,730,971 </w:t>
            </w:r>
          </w:p>
        </w:tc>
      </w:tr>
    </w:tbl>
    <w:p w:rsidR="00034E5E" w:rsidRDefault="00034E5E" w:rsidP="00034E5E">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2 2014 (1/2)</w:t>
      </w:r>
    </w:p>
    <w:p w:rsidR="00DB155C" w:rsidRDefault="004927C1" w:rsidP="00DB155C">
      <w:pPr>
        <w:rPr>
          <w:rFonts w:ascii="Times New Roman" w:hAnsi="Times New Roman"/>
          <w:sz w:val="24"/>
          <w:szCs w:val="24"/>
        </w:rPr>
      </w:pPr>
      <w:r w:rsidRPr="004927C1">
        <w:rPr>
          <w:noProof/>
          <w:szCs w:val="24"/>
          <w:lang w:eastAsia="en-US"/>
        </w:rPr>
        <w:drawing>
          <wp:inline distT="0" distB="0" distL="0" distR="0">
            <wp:extent cx="9103004" cy="3829299"/>
            <wp:effectExtent l="19050" t="0" r="2896"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srcRect/>
                    <a:stretch>
                      <a:fillRect/>
                    </a:stretch>
                  </pic:blipFill>
                  <pic:spPr bwMode="auto">
                    <a:xfrm>
                      <a:off x="0" y="0"/>
                      <a:ext cx="9102766" cy="3829199"/>
                    </a:xfrm>
                    <a:prstGeom prst="rect">
                      <a:avLst/>
                    </a:prstGeom>
                    <a:noFill/>
                    <a:ln w="9525">
                      <a:noFill/>
                      <a:miter lim="800000"/>
                      <a:headEnd/>
                      <a:tailEnd/>
                    </a:ln>
                  </pic:spPr>
                </pic:pic>
              </a:graphicData>
            </a:graphic>
          </wp:inline>
        </w:drawing>
      </w: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2 2014 (2/2)</w:t>
      </w:r>
    </w:p>
    <w:tbl>
      <w:tblPr>
        <w:tblW w:w="13920" w:type="dxa"/>
        <w:tblInd w:w="91" w:type="dxa"/>
        <w:tblLook w:val="04A0"/>
      </w:tblPr>
      <w:tblGrid>
        <w:gridCol w:w="3640"/>
        <w:gridCol w:w="2860"/>
        <w:gridCol w:w="2060"/>
        <w:gridCol w:w="2320"/>
        <w:gridCol w:w="1350"/>
        <w:gridCol w:w="1780"/>
      </w:tblGrid>
      <w:tr w:rsidR="00144576" w:rsidRPr="00144576" w:rsidTr="00144576">
        <w:trPr>
          <w:trHeight w:val="315"/>
        </w:trPr>
        <w:tc>
          <w:tcPr>
            <w:tcW w:w="1392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4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7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$3,108,692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$368,050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$4,039,292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$431,382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$182,025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$1,318,838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$4,100,849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4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$7,147,984 </w:t>
            </w:r>
          </w:p>
        </w:tc>
        <w:tc>
          <w:tcPr>
            <w:tcW w:w="20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$368,050 </w:t>
            </w:r>
          </w:p>
        </w:tc>
        <w:tc>
          <w:tcPr>
            <w:tcW w:w="232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$613,407 </w:t>
            </w:r>
          </w:p>
        </w:tc>
        <w:tc>
          <w:tcPr>
            <w:tcW w:w="12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$4,100,849 </w:t>
            </w:r>
          </w:p>
        </w:tc>
        <w:tc>
          <w:tcPr>
            <w:tcW w:w="17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$1,318,838 </w:t>
            </w:r>
          </w:p>
        </w:tc>
      </w:tr>
      <w:tr w:rsidR="00144576" w:rsidRPr="00144576" w:rsidTr="00144576">
        <w:trPr>
          <w:trHeight w:val="315"/>
        </w:trPr>
        <w:tc>
          <w:tcPr>
            <w:tcW w:w="3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7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$13,549,128 </w:t>
            </w:r>
          </w:p>
        </w:tc>
      </w:tr>
    </w:tbl>
    <w:p w:rsidR="00DB155C" w:rsidRDefault="00DB155C" w:rsidP="00DB155C">
      <w:pP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2 2016 (1/2)</w:t>
      </w:r>
    </w:p>
    <w:p w:rsidR="004927C1" w:rsidRDefault="004927C1" w:rsidP="00DB155C">
      <w:pPr>
        <w:rPr>
          <w:rFonts w:ascii="Times New Roman" w:hAnsi="Times New Roman"/>
          <w:sz w:val="24"/>
          <w:szCs w:val="24"/>
        </w:rPr>
      </w:pPr>
      <w:r w:rsidRPr="004927C1">
        <w:rPr>
          <w:noProof/>
          <w:szCs w:val="24"/>
          <w:lang w:eastAsia="en-US"/>
        </w:rPr>
        <w:drawing>
          <wp:inline distT="0" distB="0" distL="0" distR="0">
            <wp:extent cx="8971331" cy="3794969"/>
            <wp:effectExtent l="19050" t="0" r="1219"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srcRect/>
                    <a:stretch>
                      <a:fillRect/>
                    </a:stretch>
                  </pic:blipFill>
                  <pic:spPr bwMode="auto">
                    <a:xfrm>
                      <a:off x="0" y="0"/>
                      <a:ext cx="8971479" cy="3795032"/>
                    </a:xfrm>
                    <a:prstGeom prst="rect">
                      <a:avLst/>
                    </a:prstGeom>
                    <a:noFill/>
                    <a:ln w="9525">
                      <a:noFill/>
                      <a:miter lim="800000"/>
                      <a:headEnd/>
                      <a:tailEnd/>
                    </a:ln>
                  </pic:spPr>
                </pic:pic>
              </a:graphicData>
            </a:graphic>
          </wp:inline>
        </w:drawing>
      </w:r>
    </w:p>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2 2016 (2/2)</w:t>
      </w:r>
    </w:p>
    <w:tbl>
      <w:tblPr>
        <w:tblW w:w="14000" w:type="dxa"/>
        <w:tblInd w:w="91" w:type="dxa"/>
        <w:tblLook w:val="04A0"/>
      </w:tblPr>
      <w:tblGrid>
        <w:gridCol w:w="3640"/>
        <w:gridCol w:w="2860"/>
        <w:gridCol w:w="2060"/>
        <w:gridCol w:w="2320"/>
        <w:gridCol w:w="1350"/>
        <w:gridCol w:w="1860"/>
      </w:tblGrid>
      <w:tr w:rsidR="00144576" w:rsidRPr="00144576" w:rsidTr="00144576">
        <w:trPr>
          <w:trHeight w:val="315"/>
        </w:trPr>
        <w:tc>
          <w:tcPr>
            <w:tcW w:w="1400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4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$6,500,253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$770,335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$8,446,133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$902,663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$380,885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$2,758,084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$8,575,920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4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$14,946,386 </w:t>
            </w:r>
          </w:p>
        </w:tc>
        <w:tc>
          <w:tcPr>
            <w:tcW w:w="20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$770,335 </w:t>
            </w:r>
          </w:p>
        </w:tc>
        <w:tc>
          <w:tcPr>
            <w:tcW w:w="232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$1,283,548 </w:t>
            </w:r>
          </w:p>
        </w:tc>
        <w:tc>
          <w:tcPr>
            <w:tcW w:w="12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$8,575,920 </w:t>
            </w:r>
          </w:p>
        </w:tc>
        <w:tc>
          <w:tcPr>
            <w:tcW w:w="1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$2,758,084 </w:t>
            </w:r>
          </w:p>
        </w:tc>
      </w:tr>
      <w:tr w:rsidR="00144576" w:rsidRPr="00144576" w:rsidTr="00144576">
        <w:trPr>
          <w:trHeight w:val="315"/>
        </w:trPr>
        <w:tc>
          <w:tcPr>
            <w:tcW w:w="3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$28,334,273 </w:t>
            </w:r>
          </w:p>
        </w:tc>
      </w:tr>
    </w:tbl>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2 2023 (1/2)</w:t>
      </w:r>
    </w:p>
    <w:tbl>
      <w:tblPr>
        <w:tblW w:w="15240" w:type="dxa"/>
        <w:tblInd w:w="91" w:type="dxa"/>
        <w:tblLook w:val="04A0"/>
      </w:tblPr>
      <w:tblGrid>
        <w:gridCol w:w="1540"/>
        <w:gridCol w:w="3600"/>
        <w:gridCol w:w="2780"/>
        <w:gridCol w:w="2000"/>
        <w:gridCol w:w="2340"/>
        <w:gridCol w:w="1350"/>
        <w:gridCol w:w="1700"/>
      </w:tblGrid>
      <w:tr w:rsidR="00144576" w:rsidRPr="00144576" w:rsidTr="00144576">
        <w:trPr>
          <w:trHeight w:val="330"/>
        </w:trPr>
        <w:tc>
          <w:tcPr>
            <w:tcW w:w="15240" w:type="dxa"/>
            <w:gridSpan w:val="7"/>
            <w:tcBorders>
              <w:top w:val="single" w:sz="8" w:space="0" w:color="auto"/>
              <w:left w:val="single" w:sz="8" w:space="0" w:color="auto"/>
              <w:bottom w:val="nil"/>
              <w:right w:val="single" w:sz="8" w:space="0" w:color="000000"/>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State and Local Tax</w:t>
            </w:r>
          </w:p>
        </w:tc>
      </w:tr>
      <w:tr w:rsidR="00144576" w:rsidRPr="00144576" w:rsidTr="00144576">
        <w:trPr>
          <w:trHeight w:val="315"/>
        </w:trPr>
        <w:tc>
          <w:tcPr>
            <w:tcW w:w="1540" w:type="dxa"/>
            <w:tcBorders>
              <w:top w:val="single" w:sz="8" w:space="0" w:color="auto"/>
              <w:left w:val="single" w:sz="8" w:space="0" w:color="auto"/>
              <w:bottom w:val="single" w:sz="4" w:space="0" w:color="auto"/>
              <w:right w:val="single" w:sz="8" w:space="0" w:color="auto"/>
            </w:tcBorders>
            <w:shd w:val="clear" w:color="000000" w:fill="8DB4E3"/>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Allocation</w:t>
            </w:r>
          </w:p>
        </w:tc>
        <w:tc>
          <w:tcPr>
            <w:tcW w:w="360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78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0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4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8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70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Dividends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$14,594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$9,414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$16,688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Split (70/30)</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Sales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$7,290,931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Property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$4,964,713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Motor Vehicle Lic</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$240,589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Severance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$178,982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Other 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$311,000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S/L NonTaxes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$1,307,928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$491,344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$4,210,563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NonTaxes (Fines- Fees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$653,761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Motor Vehicle License</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$363,833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Property 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$76,433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540" w:type="dxa"/>
            <w:tcBorders>
              <w:top w:val="nil"/>
              <w:left w:val="single" w:sz="8" w:space="0" w:color="auto"/>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Other Tax (Fish/Hunt)</w:t>
            </w:r>
          </w:p>
        </w:tc>
        <w:tc>
          <w:tcPr>
            <w:tcW w:w="2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$230,350 </w:t>
            </w:r>
          </w:p>
        </w:tc>
        <w:tc>
          <w:tcPr>
            <w:tcW w:w="17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36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State and Local Tax</w:t>
            </w:r>
          </w:p>
        </w:tc>
        <w:tc>
          <w:tcPr>
            <w:tcW w:w="2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$26,102 </w:t>
            </w:r>
          </w:p>
        </w:tc>
        <w:tc>
          <w:tcPr>
            <w:tcW w:w="20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23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$14,294,143 </w:t>
            </w:r>
          </w:p>
        </w:tc>
        <w:tc>
          <w:tcPr>
            <w:tcW w:w="12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$5,534,940 </w:t>
            </w:r>
          </w:p>
        </w:tc>
        <w:tc>
          <w:tcPr>
            <w:tcW w:w="17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$505,938 </w:t>
            </w:r>
          </w:p>
        </w:tc>
      </w:tr>
      <w:tr w:rsidR="00144576" w:rsidRPr="00144576" w:rsidTr="00144576">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36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7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$20,361,123.00 </w:t>
            </w:r>
          </w:p>
        </w:tc>
      </w:tr>
    </w:tbl>
    <w:p w:rsidR="00144576" w:rsidRDefault="00144576" w:rsidP="00DB155C">
      <w:pPr>
        <w:rPr>
          <w:rFonts w:ascii="Times New Roman" w:hAnsi="Times New Roman"/>
          <w:sz w:val="24"/>
          <w:szCs w:val="24"/>
        </w:rPr>
      </w:pPr>
    </w:p>
    <w:p w:rsidR="00DB155C" w:rsidRDefault="00DB155C" w:rsidP="00DB155C">
      <w:pPr>
        <w:rPr>
          <w:rFonts w:ascii="Times New Roman" w:hAnsi="Times New Roman"/>
          <w:sz w:val="24"/>
          <w:szCs w:val="24"/>
        </w:rPr>
      </w:pPr>
    </w:p>
    <w:p w:rsidR="00DB155C" w:rsidRDefault="00DB155C" w:rsidP="00144576">
      <w:pPr>
        <w:spacing w:after="0" w:line="240" w:lineRule="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Scenario 2 2023 (2/2)</w:t>
      </w:r>
    </w:p>
    <w:p w:rsidR="00DB155C" w:rsidRDefault="00DB155C" w:rsidP="00DB155C">
      <w:pPr>
        <w:jc w:val="center"/>
        <w:rPr>
          <w:rFonts w:ascii="Times New Roman" w:hAnsi="Times New Roman"/>
          <w:sz w:val="24"/>
          <w:szCs w:val="24"/>
        </w:rPr>
      </w:pPr>
    </w:p>
    <w:tbl>
      <w:tblPr>
        <w:tblW w:w="13770" w:type="dxa"/>
        <w:tblInd w:w="91" w:type="dxa"/>
        <w:tblLook w:val="04A0"/>
      </w:tblPr>
      <w:tblGrid>
        <w:gridCol w:w="3600"/>
        <w:gridCol w:w="2780"/>
        <w:gridCol w:w="2000"/>
        <w:gridCol w:w="2340"/>
        <w:gridCol w:w="1350"/>
        <w:gridCol w:w="1700"/>
      </w:tblGrid>
      <w:tr w:rsidR="00144576" w:rsidRPr="00144576" w:rsidTr="00144576">
        <w:trPr>
          <w:trHeight w:val="315"/>
        </w:trPr>
        <w:tc>
          <w:tcPr>
            <w:tcW w:w="1377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DB155C" w:rsidP="00144576">
            <w:pPr>
              <w:spacing w:after="0" w:line="240" w:lineRule="auto"/>
              <w:jc w:val="center"/>
              <w:rPr>
                <w:rFonts w:ascii="Times New Roman" w:hAnsi="Times New Roman"/>
                <w:b/>
                <w:bCs/>
                <w:color w:val="FFFFFF"/>
                <w:sz w:val="24"/>
                <w:szCs w:val="24"/>
                <w:lang w:eastAsia="en-US"/>
              </w:rPr>
            </w:pPr>
            <w:r>
              <w:rPr>
                <w:rFonts w:ascii="Times New Roman" w:hAnsi="Times New Roman"/>
                <w:sz w:val="24"/>
                <w:szCs w:val="24"/>
              </w:rPr>
              <w:br w:type="page"/>
            </w:r>
            <w:r w:rsidR="00144576"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0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7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0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4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35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70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$8,561,999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$1,015,868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35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$11,125,071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35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$1,190,011 </w:t>
            </w:r>
          </w:p>
        </w:tc>
        <w:tc>
          <w:tcPr>
            <w:tcW w:w="135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$502,134 </w:t>
            </w:r>
          </w:p>
        </w:tc>
        <w:tc>
          <w:tcPr>
            <w:tcW w:w="135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35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35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$3,633,413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35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$11,297,753 </w:t>
            </w:r>
          </w:p>
        </w:tc>
        <w:tc>
          <w:tcPr>
            <w:tcW w:w="17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0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7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$19,687,070 </w:t>
            </w:r>
          </w:p>
        </w:tc>
        <w:tc>
          <w:tcPr>
            <w:tcW w:w="200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$1,015,868 </w:t>
            </w:r>
          </w:p>
        </w:tc>
        <w:tc>
          <w:tcPr>
            <w:tcW w:w="234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$1,692,145 </w:t>
            </w:r>
          </w:p>
        </w:tc>
        <w:tc>
          <w:tcPr>
            <w:tcW w:w="135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$11,297,753 </w:t>
            </w:r>
          </w:p>
        </w:tc>
        <w:tc>
          <w:tcPr>
            <w:tcW w:w="170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$3,633,413 </w:t>
            </w:r>
          </w:p>
        </w:tc>
      </w:tr>
      <w:tr w:rsidR="00144576" w:rsidRPr="00144576" w:rsidTr="00144576">
        <w:trPr>
          <w:trHeight w:val="31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7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0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$37,326,249 </w:t>
            </w:r>
          </w:p>
        </w:tc>
      </w:tr>
    </w:tbl>
    <w:p w:rsidR="00DB155C" w:rsidRDefault="00DB155C">
      <w:pPr>
        <w:spacing w:after="0" w:line="240" w:lineRule="auto"/>
        <w:rPr>
          <w:rFonts w:ascii="Times New Roman" w:hAnsi="Times New Roman"/>
          <w:sz w:val="24"/>
          <w:szCs w:val="24"/>
        </w:rPr>
      </w:pPr>
    </w:p>
    <w:p w:rsidR="00144576" w:rsidRDefault="00144576" w:rsidP="00DB155C">
      <w:pPr>
        <w:rPr>
          <w:rFonts w:ascii="Times New Roman" w:hAnsi="Times New Roman"/>
          <w:sz w:val="24"/>
          <w:szCs w:val="24"/>
        </w:rPr>
      </w:pPr>
    </w:p>
    <w:p w:rsidR="00144576" w:rsidRDefault="00144576" w:rsidP="00DB155C">
      <w:pPr>
        <w:rPr>
          <w:rFonts w:ascii="Times New Roman" w:hAnsi="Times New Roman"/>
          <w:sz w:val="24"/>
          <w:szCs w:val="24"/>
        </w:rPr>
      </w:pPr>
    </w:p>
    <w:p w:rsidR="00144576" w:rsidRDefault="00144576" w:rsidP="00DB155C">
      <w:pPr>
        <w:rPr>
          <w:rFonts w:ascii="Times New Roman" w:hAnsi="Times New Roman"/>
          <w:sz w:val="24"/>
          <w:szCs w:val="24"/>
        </w:rPr>
      </w:pPr>
    </w:p>
    <w:p w:rsidR="00144576" w:rsidRDefault="00144576" w:rsidP="00DB155C">
      <w:pPr>
        <w:rPr>
          <w:rFonts w:ascii="Times New Roman" w:hAnsi="Times New Roman"/>
          <w:sz w:val="24"/>
          <w:szCs w:val="24"/>
        </w:rPr>
      </w:pPr>
    </w:p>
    <w:p w:rsidR="00144576" w:rsidRDefault="00144576" w:rsidP="00DB155C">
      <w:pPr>
        <w:rPr>
          <w:rFonts w:ascii="Times New Roman" w:hAnsi="Times New Roman"/>
          <w:sz w:val="24"/>
          <w:szCs w:val="24"/>
        </w:rPr>
      </w:pPr>
    </w:p>
    <w:p w:rsidR="00144576" w:rsidRDefault="00144576" w:rsidP="00DB155C">
      <w:pPr>
        <w:rPr>
          <w:rFonts w:ascii="Times New Roman" w:hAnsi="Times New Roman"/>
          <w:sz w:val="24"/>
          <w:szCs w:val="24"/>
        </w:rPr>
      </w:pPr>
    </w:p>
    <w:p w:rsidR="00DB155C" w:rsidRDefault="00DB155C" w:rsidP="00DB155C">
      <w:pPr>
        <w:rPr>
          <w:rFonts w:ascii="Times New Roman" w:hAnsi="Times New Roman"/>
          <w:sz w:val="24"/>
          <w:szCs w:val="24"/>
        </w:rPr>
      </w:pPr>
      <w:r>
        <w:rPr>
          <w:rFonts w:ascii="Times New Roman" w:hAnsi="Times New Roman"/>
          <w:sz w:val="24"/>
          <w:szCs w:val="24"/>
        </w:rPr>
        <w:lastRenderedPageBreak/>
        <w:t>Scenario 3 2014 (1/2)</w:t>
      </w:r>
    </w:p>
    <w:p w:rsidR="004927C1" w:rsidRDefault="004927C1" w:rsidP="00DB155C">
      <w:pPr>
        <w:rPr>
          <w:rFonts w:ascii="Times New Roman" w:hAnsi="Times New Roman"/>
          <w:sz w:val="24"/>
          <w:szCs w:val="24"/>
        </w:rPr>
      </w:pPr>
      <w:r w:rsidRPr="004927C1">
        <w:rPr>
          <w:noProof/>
          <w:szCs w:val="24"/>
          <w:lang w:eastAsia="en-US"/>
        </w:rPr>
        <w:drawing>
          <wp:inline distT="0" distB="0" distL="0" distR="0">
            <wp:extent cx="9061340" cy="3827909"/>
            <wp:effectExtent l="19050" t="0" r="646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srcRect/>
                    <a:stretch>
                      <a:fillRect/>
                    </a:stretch>
                  </pic:blipFill>
                  <pic:spPr bwMode="auto">
                    <a:xfrm>
                      <a:off x="0" y="0"/>
                      <a:ext cx="9064297" cy="3829158"/>
                    </a:xfrm>
                    <a:prstGeom prst="rect">
                      <a:avLst/>
                    </a:prstGeom>
                    <a:noFill/>
                    <a:ln w="9525">
                      <a:noFill/>
                      <a:miter lim="800000"/>
                      <a:headEnd/>
                      <a:tailEnd/>
                    </a:ln>
                  </pic:spPr>
                </pic:pic>
              </a:graphicData>
            </a:graphic>
          </wp:inline>
        </w:drawing>
      </w:r>
    </w:p>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3 2014 (2/2)</w:t>
      </w:r>
    </w:p>
    <w:p w:rsidR="00144576" w:rsidRDefault="00144576">
      <w:pPr>
        <w:spacing w:after="0" w:line="240" w:lineRule="auto"/>
        <w:rPr>
          <w:rFonts w:ascii="Times New Roman" w:hAnsi="Times New Roman"/>
          <w:sz w:val="24"/>
          <w:szCs w:val="24"/>
        </w:rPr>
      </w:pPr>
    </w:p>
    <w:tbl>
      <w:tblPr>
        <w:tblW w:w="13920" w:type="dxa"/>
        <w:tblInd w:w="91" w:type="dxa"/>
        <w:tblLook w:val="04A0"/>
      </w:tblPr>
      <w:tblGrid>
        <w:gridCol w:w="3640"/>
        <w:gridCol w:w="2860"/>
        <w:gridCol w:w="2060"/>
        <w:gridCol w:w="2320"/>
        <w:gridCol w:w="1350"/>
        <w:gridCol w:w="1780"/>
      </w:tblGrid>
      <w:tr w:rsidR="00144576" w:rsidRPr="00144576" w:rsidTr="00144576">
        <w:trPr>
          <w:trHeight w:val="315"/>
        </w:trPr>
        <w:tc>
          <w:tcPr>
            <w:tcW w:w="1392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4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7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$1,826,454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$213,278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$2,373,212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$250,901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$105,870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$772,727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$2,405,104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4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$4,141,318 </w:t>
            </w:r>
          </w:p>
        </w:tc>
        <w:tc>
          <w:tcPr>
            <w:tcW w:w="20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$201,783 </w:t>
            </w:r>
          </w:p>
        </w:tc>
        <w:tc>
          <w:tcPr>
            <w:tcW w:w="232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$359,712 </w:t>
            </w:r>
          </w:p>
        </w:tc>
        <w:tc>
          <w:tcPr>
            <w:tcW w:w="12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$2,359,387 </w:t>
            </w:r>
          </w:p>
        </w:tc>
        <w:tc>
          <w:tcPr>
            <w:tcW w:w="17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$776,731 </w:t>
            </w:r>
          </w:p>
        </w:tc>
      </w:tr>
      <w:tr w:rsidR="00144576" w:rsidRPr="00144576" w:rsidTr="00144576">
        <w:trPr>
          <w:trHeight w:val="315"/>
        </w:trPr>
        <w:tc>
          <w:tcPr>
            <w:tcW w:w="3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7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$7,838,931 </w:t>
            </w:r>
          </w:p>
        </w:tc>
      </w:tr>
    </w:tbl>
    <w:p w:rsidR="00DB155C" w:rsidRDefault="00DB155C">
      <w:pPr>
        <w:spacing w:after="0" w:line="240" w:lineRule="auto"/>
        <w:rPr>
          <w:rFonts w:ascii="Times New Roman" w:hAnsi="Times New Roman"/>
          <w:sz w:val="24"/>
          <w:szCs w:val="24"/>
        </w:rPr>
      </w:pPr>
    </w:p>
    <w:p w:rsidR="00144576" w:rsidRDefault="00144576">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3 2016 (1/2)</w:t>
      </w:r>
    </w:p>
    <w:tbl>
      <w:tblPr>
        <w:tblW w:w="15120" w:type="dxa"/>
        <w:tblInd w:w="91" w:type="dxa"/>
        <w:tblLook w:val="04A0"/>
      </w:tblPr>
      <w:tblGrid>
        <w:gridCol w:w="1540"/>
        <w:gridCol w:w="3600"/>
        <w:gridCol w:w="2780"/>
        <w:gridCol w:w="2000"/>
        <w:gridCol w:w="2340"/>
        <w:gridCol w:w="1350"/>
        <w:gridCol w:w="1580"/>
      </w:tblGrid>
      <w:tr w:rsidR="00144576" w:rsidRPr="00144576" w:rsidTr="00144576">
        <w:trPr>
          <w:trHeight w:val="330"/>
        </w:trPr>
        <w:tc>
          <w:tcPr>
            <w:tcW w:w="15120" w:type="dxa"/>
            <w:gridSpan w:val="7"/>
            <w:tcBorders>
              <w:top w:val="single" w:sz="8" w:space="0" w:color="auto"/>
              <w:left w:val="single" w:sz="8" w:space="0" w:color="auto"/>
              <w:bottom w:val="nil"/>
              <w:right w:val="single" w:sz="8" w:space="0" w:color="000000"/>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State and Local Tax</w:t>
            </w:r>
          </w:p>
        </w:tc>
      </w:tr>
      <w:tr w:rsidR="00144576" w:rsidRPr="00144576" w:rsidTr="00144576">
        <w:trPr>
          <w:trHeight w:val="315"/>
        </w:trPr>
        <w:tc>
          <w:tcPr>
            <w:tcW w:w="1540" w:type="dxa"/>
            <w:tcBorders>
              <w:top w:val="single" w:sz="8" w:space="0" w:color="auto"/>
              <w:left w:val="single" w:sz="8" w:space="0" w:color="auto"/>
              <w:bottom w:val="single" w:sz="4" w:space="0" w:color="auto"/>
              <w:right w:val="single" w:sz="8" w:space="0" w:color="auto"/>
            </w:tcBorders>
            <w:shd w:val="clear" w:color="000000" w:fill="8DB4E3"/>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Allocation</w:t>
            </w:r>
          </w:p>
        </w:tc>
        <w:tc>
          <w:tcPr>
            <w:tcW w:w="360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78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0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4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8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580" w:type="dxa"/>
            <w:tcBorders>
              <w:top w:val="single" w:sz="8" w:space="0" w:color="auto"/>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Dividends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$7,067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$4,569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$8,100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Split (70/30)</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Sales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$3,508,254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Property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$2,388,924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Motor Vehicle Lic</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$115,767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Severance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$86,123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Other 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$149,647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S/L NonTaxes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$629,350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$237,943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$2,040,574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NonTaxes (Fines- Fees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$316,833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Motor Vehicle License</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$176,325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5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Property 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$37,042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540" w:type="dxa"/>
            <w:tcBorders>
              <w:top w:val="nil"/>
              <w:left w:val="single" w:sz="8" w:space="0" w:color="auto"/>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center"/>
              <w:rPr>
                <w:rFonts w:ascii="Times New Roman" w:hAnsi="Times New Roman"/>
                <w:color w:val="000000"/>
                <w:lang w:eastAsia="en-US"/>
              </w:rPr>
            </w:pPr>
            <w:r w:rsidRPr="00144576">
              <w:rPr>
                <w:rFonts w:ascii="Times New Roman" w:hAnsi="Times New Roman"/>
                <w:color w:val="000000"/>
                <w:lang w:eastAsia="en-US"/>
              </w:rPr>
              <w:t>State</w:t>
            </w:r>
          </w:p>
        </w:tc>
        <w:tc>
          <w:tcPr>
            <w:tcW w:w="36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Other Tax (Fish/Hunt)</w:t>
            </w:r>
          </w:p>
        </w:tc>
        <w:tc>
          <w:tcPr>
            <w:tcW w:w="2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$111,635 </w:t>
            </w:r>
          </w:p>
        </w:tc>
        <w:tc>
          <w:tcPr>
            <w:tcW w:w="15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36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State and Local Tax</w:t>
            </w:r>
          </w:p>
        </w:tc>
        <w:tc>
          <w:tcPr>
            <w:tcW w:w="2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$12,669 </w:t>
            </w:r>
          </w:p>
        </w:tc>
        <w:tc>
          <w:tcPr>
            <w:tcW w:w="20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23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$6,878,064 </w:t>
            </w:r>
          </w:p>
        </w:tc>
        <w:tc>
          <w:tcPr>
            <w:tcW w:w="12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$2,682,410 </w:t>
            </w:r>
          </w:p>
        </w:tc>
        <w:tc>
          <w:tcPr>
            <w:tcW w:w="15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$245,011 </w:t>
            </w:r>
          </w:p>
        </w:tc>
      </w:tr>
      <w:tr w:rsidR="00144576" w:rsidRPr="00144576" w:rsidTr="00144576">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36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7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0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4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580" w:type="dxa"/>
            <w:tcBorders>
              <w:top w:val="nil"/>
              <w:left w:val="nil"/>
              <w:bottom w:val="single" w:sz="8"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$9,818,154.00 </w:t>
            </w:r>
          </w:p>
        </w:tc>
      </w:tr>
    </w:tbl>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3 2016 (2/2)</w:t>
      </w:r>
    </w:p>
    <w:tbl>
      <w:tblPr>
        <w:tblW w:w="13580" w:type="dxa"/>
        <w:tblInd w:w="91" w:type="dxa"/>
        <w:tblLook w:val="04A0"/>
      </w:tblPr>
      <w:tblGrid>
        <w:gridCol w:w="3600"/>
        <w:gridCol w:w="2780"/>
        <w:gridCol w:w="2000"/>
        <w:gridCol w:w="2340"/>
        <w:gridCol w:w="1350"/>
        <w:gridCol w:w="1580"/>
      </w:tblGrid>
      <w:tr w:rsidR="00144576" w:rsidRPr="00144576" w:rsidTr="00144576">
        <w:trPr>
          <w:trHeight w:val="315"/>
        </w:trPr>
        <w:tc>
          <w:tcPr>
            <w:tcW w:w="1358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0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7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Employee</w:t>
            </w:r>
            <w:r w:rsidRPr="00144576">
              <w:rPr>
                <w:rFonts w:ascii="Times New Roman" w:hAnsi="Times New Roman"/>
                <w:sz w:val="24"/>
                <w:szCs w:val="24"/>
                <w:lang w:eastAsia="en-US"/>
              </w:rPr>
              <w:t xml:space="preserve"> Compensation</w:t>
            </w:r>
          </w:p>
        </w:tc>
        <w:tc>
          <w:tcPr>
            <w:tcW w:w="200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4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5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$4,155,749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$487,282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$5,399,791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$572,610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$241,617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$1,759,555 </w:t>
            </w:r>
          </w:p>
        </w:tc>
      </w:tr>
      <w:tr w:rsidR="00144576" w:rsidRPr="00144576" w:rsidTr="00144576">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$5,475,255 </w:t>
            </w:r>
          </w:p>
        </w:tc>
        <w:tc>
          <w:tcPr>
            <w:tcW w:w="15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0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7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$9,555,541 </w:t>
            </w:r>
          </w:p>
        </w:tc>
        <w:tc>
          <w:tcPr>
            <w:tcW w:w="200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$487,282 </w:t>
            </w:r>
          </w:p>
        </w:tc>
        <w:tc>
          <w:tcPr>
            <w:tcW w:w="234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$814,227 </w:t>
            </w:r>
          </w:p>
        </w:tc>
        <w:tc>
          <w:tcPr>
            <w:tcW w:w="12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$5,475,255 </w:t>
            </w:r>
          </w:p>
        </w:tc>
        <w:tc>
          <w:tcPr>
            <w:tcW w:w="15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$1,759,555 </w:t>
            </w:r>
          </w:p>
        </w:tc>
      </w:tr>
      <w:tr w:rsidR="00144576" w:rsidRPr="00144576" w:rsidTr="00144576">
        <w:trPr>
          <w:trHeight w:val="31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7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0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$18,091,860 </w:t>
            </w:r>
          </w:p>
        </w:tc>
      </w:tr>
    </w:tbl>
    <w:p w:rsidR="00144576" w:rsidRDefault="00144576" w:rsidP="00DB155C">
      <w:pPr>
        <w:rPr>
          <w:rFonts w:ascii="Times New Roman" w:hAnsi="Times New Roman"/>
          <w:sz w:val="24"/>
          <w:szCs w:val="24"/>
        </w:rPr>
      </w:pPr>
    </w:p>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3 2023 (1/2)</w:t>
      </w:r>
    </w:p>
    <w:p w:rsidR="004927C1" w:rsidRDefault="004927C1" w:rsidP="00DB155C">
      <w:pPr>
        <w:rPr>
          <w:rFonts w:ascii="Times New Roman" w:hAnsi="Times New Roman"/>
          <w:sz w:val="24"/>
          <w:szCs w:val="24"/>
        </w:rPr>
      </w:pPr>
      <w:r w:rsidRPr="004927C1">
        <w:rPr>
          <w:noProof/>
          <w:szCs w:val="24"/>
          <w:lang w:eastAsia="en-US"/>
        </w:rPr>
        <w:drawing>
          <wp:inline distT="0" distB="0" distL="0" distR="0">
            <wp:extent cx="8181975" cy="3434715"/>
            <wp:effectExtent l="19050" t="0" r="9525"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srcRect/>
                    <a:stretch>
                      <a:fillRect/>
                    </a:stretch>
                  </pic:blipFill>
                  <pic:spPr bwMode="auto">
                    <a:xfrm>
                      <a:off x="0" y="0"/>
                      <a:ext cx="8181975" cy="3434715"/>
                    </a:xfrm>
                    <a:prstGeom prst="rect">
                      <a:avLst/>
                    </a:prstGeom>
                    <a:noFill/>
                    <a:ln w="9525">
                      <a:noFill/>
                      <a:miter lim="800000"/>
                      <a:headEnd/>
                      <a:tailEnd/>
                    </a:ln>
                  </pic:spPr>
                </pic:pic>
              </a:graphicData>
            </a:graphic>
          </wp:inline>
        </w:drawing>
      </w:r>
    </w:p>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3 2023 (2/2)</w:t>
      </w:r>
    </w:p>
    <w:tbl>
      <w:tblPr>
        <w:tblW w:w="14000" w:type="dxa"/>
        <w:tblInd w:w="91" w:type="dxa"/>
        <w:tblLook w:val="04A0"/>
      </w:tblPr>
      <w:tblGrid>
        <w:gridCol w:w="3640"/>
        <w:gridCol w:w="2860"/>
        <w:gridCol w:w="2060"/>
        <w:gridCol w:w="2320"/>
        <w:gridCol w:w="1350"/>
        <w:gridCol w:w="1860"/>
      </w:tblGrid>
      <w:tr w:rsidR="00144576" w:rsidRPr="00144576" w:rsidTr="00144576">
        <w:trPr>
          <w:trHeight w:val="315"/>
        </w:trPr>
        <w:tc>
          <w:tcPr>
            <w:tcW w:w="1400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4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Employee</w:t>
            </w:r>
            <w:r w:rsidRPr="00144576">
              <w:rPr>
                <w:rFonts w:ascii="Times New Roman" w:hAnsi="Times New Roman"/>
                <w:sz w:val="24"/>
                <w:szCs w:val="24"/>
                <w:lang w:eastAsia="en-US"/>
              </w:rPr>
              <w:t xml:space="preserve">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$6,497,372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$766,500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$8,442,389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$899,266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$379,452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$2,754,093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$8,567,082 </w:t>
            </w:r>
          </w:p>
        </w:tc>
        <w:tc>
          <w:tcPr>
            <w:tcW w:w="1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4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$14,939,761 </w:t>
            </w:r>
          </w:p>
        </w:tc>
        <w:tc>
          <w:tcPr>
            <w:tcW w:w="20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$766,500 </w:t>
            </w:r>
          </w:p>
        </w:tc>
        <w:tc>
          <w:tcPr>
            <w:tcW w:w="232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$1,278,718 </w:t>
            </w:r>
          </w:p>
        </w:tc>
        <w:tc>
          <w:tcPr>
            <w:tcW w:w="12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$8,567,082 </w:t>
            </w:r>
          </w:p>
        </w:tc>
        <w:tc>
          <w:tcPr>
            <w:tcW w:w="1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$2,754,093 </w:t>
            </w:r>
          </w:p>
        </w:tc>
      </w:tr>
      <w:tr w:rsidR="00144576" w:rsidRPr="00144576" w:rsidTr="00144576">
        <w:trPr>
          <w:trHeight w:val="315"/>
        </w:trPr>
        <w:tc>
          <w:tcPr>
            <w:tcW w:w="3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$28,306,154 </w:t>
            </w:r>
          </w:p>
        </w:tc>
      </w:tr>
    </w:tbl>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4 2014 (1/2)</w:t>
      </w:r>
    </w:p>
    <w:p w:rsidR="00144576" w:rsidRDefault="00144576" w:rsidP="00DB155C">
      <w:pPr>
        <w:rPr>
          <w:rFonts w:ascii="Times New Roman" w:hAnsi="Times New Roman"/>
          <w:sz w:val="24"/>
          <w:szCs w:val="24"/>
        </w:rPr>
      </w:pPr>
      <w:r w:rsidRPr="00144576">
        <w:rPr>
          <w:noProof/>
          <w:szCs w:val="24"/>
          <w:lang w:eastAsia="en-US"/>
        </w:rPr>
        <w:drawing>
          <wp:inline distT="0" distB="0" distL="0" distR="0">
            <wp:extent cx="8920480" cy="3700145"/>
            <wp:effectExtent l="19050" t="0" r="0" b="0"/>
            <wp:docPr id="1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srcRect/>
                    <a:stretch>
                      <a:fillRect/>
                    </a:stretch>
                  </pic:blipFill>
                  <pic:spPr bwMode="auto">
                    <a:xfrm>
                      <a:off x="0" y="0"/>
                      <a:ext cx="8920480" cy="3700145"/>
                    </a:xfrm>
                    <a:prstGeom prst="rect">
                      <a:avLst/>
                    </a:prstGeom>
                    <a:noFill/>
                    <a:ln w="9525">
                      <a:noFill/>
                      <a:miter lim="800000"/>
                      <a:headEnd/>
                      <a:tailEnd/>
                    </a:ln>
                  </pic:spPr>
                </pic:pic>
              </a:graphicData>
            </a:graphic>
          </wp:inline>
        </w:drawing>
      </w:r>
    </w:p>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4 2014 (2/2)</w:t>
      </w:r>
    </w:p>
    <w:tbl>
      <w:tblPr>
        <w:tblW w:w="12520" w:type="dxa"/>
        <w:tblInd w:w="91" w:type="dxa"/>
        <w:tblLook w:val="04A0"/>
      </w:tblPr>
      <w:tblGrid>
        <w:gridCol w:w="1760"/>
        <w:gridCol w:w="2860"/>
        <w:gridCol w:w="2060"/>
        <w:gridCol w:w="2320"/>
        <w:gridCol w:w="1760"/>
        <w:gridCol w:w="1760"/>
      </w:tblGrid>
      <w:tr w:rsidR="00144576" w:rsidRPr="00144576" w:rsidTr="00144576">
        <w:trPr>
          <w:trHeight w:val="315"/>
        </w:trPr>
        <w:tc>
          <w:tcPr>
            <w:tcW w:w="1252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176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Employees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7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7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176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$1,027,410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$120,527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76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$1,334,970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76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$141,613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76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$59,755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76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176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$435,070 </w:t>
            </w:r>
          </w:p>
        </w:tc>
      </w:tr>
      <w:tr w:rsidR="00144576" w:rsidRPr="00144576" w:rsidTr="00144576">
        <w:trPr>
          <w:trHeight w:val="300"/>
        </w:trPr>
        <w:tc>
          <w:tcPr>
            <w:tcW w:w="176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$1,353,709 </w:t>
            </w:r>
          </w:p>
        </w:tc>
        <w:tc>
          <w:tcPr>
            <w:tcW w:w="17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176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$2,362,380 </w:t>
            </w:r>
          </w:p>
        </w:tc>
        <w:tc>
          <w:tcPr>
            <w:tcW w:w="20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$120,527 </w:t>
            </w:r>
          </w:p>
        </w:tc>
        <w:tc>
          <w:tcPr>
            <w:tcW w:w="232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$201,368 </w:t>
            </w:r>
          </w:p>
        </w:tc>
        <w:tc>
          <w:tcPr>
            <w:tcW w:w="17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$1,353,709 </w:t>
            </w:r>
          </w:p>
        </w:tc>
        <w:tc>
          <w:tcPr>
            <w:tcW w:w="17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$435,070 </w:t>
            </w:r>
          </w:p>
        </w:tc>
      </w:tr>
      <w:tr w:rsidR="00144576" w:rsidRPr="00144576" w:rsidTr="00144576">
        <w:trPr>
          <w:trHeight w:val="315"/>
        </w:trPr>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$4,473,054 </w:t>
            </w:r>
          </w:p>
        </w:tc>
      </w:tr>
    </w:tbl>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4 2016 (1/2)</w:t>
      </w:r>
    </w:p>
    <w:p w:rsidR="004927C1" w:rsidRDefault="004927C1">
      <w:pPr>
        <w:spacing w:after="0" w:line="240" w:lineRule="auto"/>
        <w:rPr>
          <w:rFonts w:ascii="Times New Roman" w:hAnsi="Times New Roman"/>
          <w:sz w:val="24"/>
          <w:szCs w:val="24"/>
        </w:rPr>
      </w:pPr>
      <w:r w:rsidRPr="004927C1">
        <w:rPr>
          <w:noProof/>
          <w:szCs w:val="24"/>
          <w:lang w:eastAsia="en-US"/>
        </w:rPr>
        <w:drawing>
          <wp:inline distT="0" distB="0" distL="0" distR="0">
            <wp:extent cx="8253730" cy="3434715"/>
            <wp:effectExtent l="19050" t="0" r="0" b="0"/>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srcRect/>
                    <a:stretch>
                      <a:fillRect/>
                    </a:stretch>
                  </pic:blipFill>
                  <pic:spPr bwMode="auto">
                    <a:xfrm>
                      <a:off x="0" y="0"/>
                      <a:ext cx="8253730" cy="3434715"/>
                    </a:xfrm>
                    <a:prstGeom prst="rect">
                      <a:avLst/>
                    </a:prstGeom>
                    <a:noFill/>
                    <a:ln w="9525">
                      <a:noFill/>
                      <a:miter lim="800000"/>
                      <a:headEnd/>
                      <a:tailEnd/>
                    </a:ln>
                  </pic:spPr>
                </pic:pic>
              </a:graphicData>
            </a:graphic>
          </wp:inline>
        </w:drawing>
      </w:r>
    </w:p>
    <w:p w:rsidR="004927C1" w:rsidRDefault="004927C1">
      <w:pPr>
        <w:spacing w:after="0" w:line="240" w:lineRule="auto"/>
        <w:rPr>
          <w:rFonts w:ascii="Times New Roman" w:hAnsi="Times New Roman"/>
          <w:sz w:val="24"/>
          <w:szCs w:val="24"/>
        </w:rPr>
      </w:pPr>
    </w:p>
    <w:p w:rsidR="004927C1" w:rsidRDefault="004927C1" w:rsidP="00DB155C">
      <w:pPr>
        <w:rPr>
          <w:rFonts w:ascii="Times New Roman" w:hAnsi="Times New Roman"/>
          <w:sz w:val="24"/>
          <w:szCs w:val="24"/>
        </w:rPr>
      </w:pPr>
    </w:p>
    <w:p w:rsidR="004927C1" w:rsidRDefault="004927C1" w:rsidP="00DB155C">
      <w:pPr>
        <w:rPr>
          <w:rFonts w:ascii="Times New Roman" w:hAnsi="Times New Roman"/>
          <w:sz w:val="24"/>
          <w:szCs w:val="24"/>
        </w:rPr>
      </w:pPr>
    </w:p>
    <w:p w:rsidR="004927C1" w:rsidRDefault="004927C1" w:rsidP="00DB155C">
      <w:pPr>
        <w:rPr>
          <w:rFonts w:ascii="Times New Roman" w:hAnsi="Times New Roman"/>
          <w:sz w:val="24"/>
          <w:szCs w:val="24"/>
        </w:rPr>
      </w:pPr>
    </w:p>
    <w:p w:rsidR="004927C1" w:rsidRDefault="004927C1" w:rsidP="00DB155C">
      <w:pPr>
        <w:rPr>
          <w:rFonts w:ascii="Times New Roman" w:hAnsi="Times New Roman"/>
          <w:sz w:val="24"/>
          <w:szCs w:val="24"/>
        </w:rPr>
      </w:pPr>
    </w:p>
    <w:p w:rsidR="00DB155C" w:rsidRDefault="00DB155C" w:rsidP="00DB155C">
      <w:pPr>
        <w:rPr>
          <w:rFonts w:ascii="Times New Roman" w:hAnsi="Times New Roman"/>
          <w:sz w:val="24"/>
          <w:szCs w:val="24"/>
        </w:rPr>
      </w:pPr>
      <w:r>
        <w:rPr>
          <w:rFonts w:ascii="Times New Roman" w:hAnsi="Times New Roman"/>
          <w:sz w:val="24"/>
          <w:szCs w:val="24"/>
        </w:rPr>
        <w:lastRenderedPageBreak/>
        <w:t>Scenario 4 2016 (2/2)</w:t>
      </w:r>
    </w:p>
    <w:tbl>
      <w:tblPr>
        <w:tblW w:w="13920" w:type="dxa"/>
        <w:tblInd w:w="91" w:type="dxa"/>
        <w:tblLook w:val="04A0"/>
      </w:tblPr>
      <w:tblGrid>
        <w:gridCol w:w="3640"/>
        <w:gridCol w:w="2860"/>
        <w:gridCol w:w="2060"/>
        <w:gridCol w:w="2320"/>
        <w:gridCol w:w="1350"/>
        <w:gridCol w:w="1780"/>
      </w:tblGrid>
      <w:tr w:rsidR="00144576" w:rsidRPr="00144576" w:rsidTr="00144576">
        <w:trPr>
          <w:trHeight w:val="315"/>
        </w:trPr>
        <w:tc>
          <w:tcPr>
            <w:tcW w:w="1392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4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7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$2,150,108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$252,573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$2,793,752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$296,656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$125,176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$910,694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$2,833,463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4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$4,943,860 </w:t>
            </w:r>
          </w:p>
        </w:tc>
        <w:tc>
          <w:tcPr>
            <w:tcW w:w="20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$252,573 </w:t>
            </w:r>
          </w:p>
        </w:tc>
        <w:tc>
          <w:tcPr>
            <w:tcW w:w="232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$421,832 </w:t>
            </w:r>
          </w:p>
        </w:tc>
        <w:tc>
          <w:tcPr>
            <w:tcW w:w="12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$2,833,463 </w:t>
            </w:r>
          </w:p>
        </w:tc>
        <w:tc>
          <w:tcPr>
            <w:tcW w:w="17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$910,694 </w:t>
            </w:r>
          </w:p>
        </w:tc>
      </w:tr>
      <w:tr w:rsidR="00144576" w:rsidRPr="00144576" w:rsidTr="00144576">
        <w:trPr>
          <w:trHeight w:val="315"/>
        </w:trPr>
        <w:tc>
          <w:tcPr>
            <w:tcW w:w="3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7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$9,362,422 </w:t>
            </w:r>
          </w:p>
        </w:tc>
      </w:tr>
    </w:tbl>
    <w:p w:rsidR="00144576" w:rsidRDefault="00144576" w:rsidP="00DB155C">
      <w:pPr>
        <w:rPr>
          <w:rFonts w:ascii="Times New Roman" w:hAnsi="Times New Roman"/>
          <w:sz w:val="24"/>
          <w:szCs w:val="24"/>
        </w:rPr>
      </w:pPr>
    </w:p>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4 2023 (1/2)</w:t>
      </w:r>
    </w:p>
    <w:p w:rsidR="00DB155C" w:rsidRDefault="004927C1" w:rsidP="004927C1">
      <w:pPr>
        <w:rPr>
          <w:rFonts w:ascii="Times New Roman" w:hAnsi="Times New Roman"/>
          <w:sz w:val="24"/>
          <w:szCs w:val="24"/>
        </w:rPr>
      </w:pPr>
      <w:r w:rsidRPr="004927C1">
        <w:rPr>
          <w:noProof/>
          <w:szCs w:val="24"/>
          <w:lang w:eastAsia="en-US"/>
        </w:rPr>
        <w:drawing>
          <wp:inline distT="0" distB="0" distL="0" distR="0">
            <wp:extent cx="8340725" cy="3434715"/>
            <wp:effectExtent l="19050" t="0" r="3175"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srcRect/>
                    <a:stretch>
                      <a:fillRect/>
                    </a:stretch>
                  </pic:blipFill>
                  <pic:spPr bwMode="auto">
                    <a:xfrm>
                      <a:off x="0" y="0"/>
                      <a:ext cx="8340725" cy="3434715"/>
                    </a:xfrm>
                    <a:prstGeom prst="rect">
                      <a:avLst/>
                    </a:prstGeom>
                    <a:noFill/>
                    <a:ln w="9525">
                      <a:noFill/>
                      <a:miter lim="800000"/>
                      <a:headEnd/>
                      <a:tailEnd/>
                    </a:ln>
                  </pic:spPr>
                </pic:pic>
              </a:graphicData>
            </a:graphic>
          </wp:inline>
        </w:drawing>
      </w: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4 2023 (2/2)</w:t>
      </w:r>
    </w:p>
    <w:p w:rsidR="00144576" w:rsidRDefault="00144576">
      <w:pPr>
        <w:spacing w:after="0" w:line="240" w:lineRule="auto"/>
        <w:rPr>
          <w:rFonts w:ascii="Times New Roman" w:hAnsi="Times New Roman"/>
          <w:sz w:val="24"/>
          <w:szCs w:val="24"/>
        </w:rPr>
      </w:pPr>
    </w:p>
    <w:tbl>
      <w:tblPr>
        <w:tblW w:w="13920" w:type="dxa"/>
        <w:tblInd w:w="91" w:type="dxa"/>
        <w:tblLook w:val="04A0"/>
      </w:tblPr>
      <w:tblGrid>
        <w:gridCol w:w="3640"/>
        <w:gridCol w:w="2860"/>
        <w:gridCol w:w="2060"/>
        <w:gridCol w:w="2320"/>
        <w:gridCol w:w="1350"/>
        <w:gridCol w:w="1780"/>
      </w:tblGrid>
      <w:tr w:rsidR="00144576" w:rsidRPr="00144576" w:rsidTr="00144576">
        <w:trPr>
          <w:trHeight w:val="315"/>
        </w:trPr>
        <w:tc>
          <w:tcPr>
            <w:tcW w:w="1392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144576" w:rsidRPr="00144576" w:rsidRDefault="00144576" w:rsidP="00144576">
            <w:pPr>
              <w:spacing w:after="0" w:line="240" w:lineRule="auto"/>
              <w:jc w:val="center"/>
              <w:rPr>
                <w:rFonts w:ascii="Times New Roman" w:hAnsi="Times New Roman"/>
                <w:b/>
                <w:bCs/>
                <w:color w:val="FFFFFF"/>
                <w:sz w:val="24"/>
                <w:szCs w:val="24"/>
                <w:lang w:eastAsia="en-US"/>
              </w:rPr>
            </w:pPr>
            <w:r w:rsidRPr="00144576">
              <w:rPr>
                <w:rFonts w:ascii="Times New Roman" w:hAnsi="Times New Roman"/>
                <w:b/>
                <w:bCs/>
                <w:color w:val="FFFFFF"/>
                <w:sz w:val="24"/>
                <w:szCs w:val="24"/>
                <w:lang w:eastAsia="en-US"/>
              </w:rPr>
              <w:t>Federal Tax</w:t>
            </w:r>
          </w:p>
        </w:tc>
      </w:tr>
      <w:tr w:rsidR="00144576" w:rsidRPr="00144576" w:rsidTr="00144576">
        <w:trPr>
          <w:trHeight w:val="315"/>
        </w:trPr>
        <w:tc>
          <w:tcPr>
            <w:tcW w:w="3640" w:type="dxa"/>
            <w:tcBorders>
              <w:top w:val="nil"/>
              <w:left w:val="single" w:sz="8" w:space="0" w:color="auto"/>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Employee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Indirect Business Tax</w:t>
            </w:r>
          </w:p>
        </w:tc>
        <w:tc>
          <w:tcPr>
            <w:tcW w:w="126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Households</w:t>
            </w:r>
          </w:p>
        </w:tc>
        <w:tc>
          <w:tcPr>
            <w:tcW w:w="1780" w:type="dxa"/>
            <w:tcBorders>
              <w:top w:val="nil"/>
              <w:left w:val="nil"/>
              <w:bottom w:val="single" w:sz="4" w:space="0" w:color="auto"/>
              <w:right w:val="single" w:sz="8" w:space="0" w:color="auto"/>
            </w:tcBorders>
            <w:shd w:val="clear" w:color="000000" w:fill="8DB4E3"/>
            <w:noWrap/>
            <w:vAlign w:val="bottom"/>
            <w:hideMark/>
          </w:tcPr>
          <w:p w:rsidR="00144576" w:rsidRPr="00144576" w:rsidRDefault="00144576" w:rsidP="00144576">
            <w:pPr>
              <w:spacing w:after="0" w:line="240" w:lineRule="auto"/>
              <w:jc w:val="center"/>
              <w:rPr>
                <w:rFonts w:ascii="Times New Roman" w:hAnsi="Times New Roman"/>
                <w:sz w:val="24"/>
                <w:szCs w:val="24"/>
                <w:lang w:eastAsia="en-US"/>
              </w:rPr>
            </w:pPr>
            <w:r w:rsidRPr="00144576">
              <w:rPr>
                <w:rFonts w:ascii="Times New Roman" w:hAnsi="Times New Roman"/>
                <w:sz w:val="24"/>
                <w:szCs w:val="24"/>
                <w:lang w:eastAsia="en-US"/>
              </w:rPr>
              <w:t>Corporations</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$3,042,388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$358,601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$3,953,141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$420,812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$177,565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$0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$1,289,377 </w:t>
            </w:r>
          </w:p>
        </w:tc>
      </w:tr>
      <w:tr w:rsidR="00144576" w:rsidRPr="00144576" w:rsidTr="00144576">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$4,011,078 </w:t>
            </w:r>
          </w:p>
        </w:tc>
        <w:tc>
          <w:tcPr>
            <w:tcW w:w="1780" w:type="dxa"/>
            <w:tcBorders>
              <w:top w:val="nil"/>
              <w:left w:val="nil"/>
              <w:bottom w:val="single" w:sz="4" w:space="0" w:color="auto"/>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 </w:t>
            </w:r>
          </w:p>
        </w:tc>
      </w:tr>
      <w:tr w:rsidR="00144576" w:rsidRPr="00144576" w:rsidTr="00144576">
        <w:trPr>
          <w:trHeight w:val="315"/>
        </w:trPr>
        <w:tc>
          <w:tcPr>
            <w:tcW w:w="3640" w:type="dxa"/>
            <w:tcBorders>
              <w:top w:val="nil"/>
              <w:left w:val="single" w:sz="8" w:space="0" w:color="auto"/>
              <w:bottom w:val="nil"/>
              <w:right w:val="single" w:sz="8" w:space="0" w:color="auto"/>
            </w:tcBorders>
            <w:shd w:val="clear" w:color="auto" w:fill="auto"/>
            <w:vAlign w:val="bottom"/>
            <w:hideMark/>
          </w:tcPr>
          <w:p w:rsidR="00144576" w:rsidRPr="00144576" w:rsidRDefault="00144576" w:rsidP="00144576">
            <w:pPr>
              <w:spacing w:after="0" w:line="240" w:lineRule="auto"/>
              <w:rPr>
                <w:rFonts w:ascii="Times New Roman" w:hAnsi="Times New Roman"/>
                <w:color w:val="000000"/>
                <w:lang w:eastAsia="en-US"/>
              </w:rPr>
            </w:pPr>
            <w:r w:rsidRPr="00144576">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$6,995,529 </w:t>
            </w:r>
          </w:p>
        </w:tc>
        <w:tc>
          <w:tcPr>
            <w:tcW w:w="20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$358,601 </w:t>
            </w:r>
          </w:p>
        </w:tc>
        <w:tc>
          <w:tcPr>
            <w:tcW w:w="232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$598,377 </w:t>
            </w:r>
          </w:p>
        </w:tc>
        <w:tc>
          <w:tcPr>
            <w:tcW w:w="126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$4,011,078 </w:t>
            </w:r>
          </w:p>
        </w:tc>
        <w:tc>
          <w:tcPr>
            <w:tcW w:w="1780" w:type="dxa"/>
            <w:tcBorders>
              <w:top w:val="nil"/>
              <w:left w:val="nil"/>
              <w:bottom w:val="nil"/>
              <w:right w:val="single" w:sz="8" w:space="0" w:color="auto"/>
            </w:tcBorders>
            <w:shd w:val="clear" w:color="auto" w:fill="auto"/>
            <w:vAlign w:val="bottom"/>
            <w:hideMark/>
          </w:tcPr>
          <w:p w:rsidR="00144576" w:rsidRPr="00144576" w:rsidRDefault="00144576" w:rsidP="00144576">
            <w:pPr>
              <w:spacing w:after="0" w:line="240" w:lineRule="auto"/>
              <w:jc w:val="right"/>
              <w:rPr>
                <w:rFonts w:ascii="Times New Roman" w:hAnsi="Times New Roman"/>
                <w:color w:val="000000"/>
                <w:lang w:eastAsia="en-US"/>
              </w:rPr>
            </w:pPr>
            <w:r w:rsidRPr="00144576">
              <w:rPr>
                <w:rFonts w:ascii="Times New Roman" w:hAnsi="Times New Roman"/>
                <w:color w:val="000000"/>
                <w:lang w:eastAsia="en-US"/>
              </w:rPr>
              <w:t xml:space="preserve">$1,289,377 </w:t>
            </w:r>
          </w:p>
        </w:tc>
      </w:tr>
      <w:tr w:rsidR="00144576" w:rsidRPr="00144576" w:rsidTr="00144576">
        <w:trPr>
          <w:trHeight w:val="315"/>
        </w:trPr>
        <w:tc>
          <w:tcPr>
            <w:tcW w:w="3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rPr>
                <w:rFonts w:ascii="Times New Roman" w:hAnsi="Times New Roman"/>
                <w:b/>
                <w:bCs/>
                <w:color w:val="000000"/>
                <w:lang w:eastAsia="en-US"/>
              </w:rPr>
            </w:pPr>
            <w:r w:rsidRPr="00144576">
              <w:rPr>
                <w:rFonts w:ascii="Times New Roman" w:hAnsi="Times New Roman"/>
                <w:b/>
                <w:bCs/>
                <w:color w:val="000000"/>
                <w:lang w:eastAsia="en-US"/>
              </w:rPr>
              <w:t>Total</w:t>
            </w:r>
          </w:p>
        </w:tc>
        <w:tc>
          <w:tcPr>
            <w:tcW w:w="1780" w:type="dxa"/>
            <w:tcBorders>
              <w:top w:val="single" w:sz="8" w:space="0" w:color="auto"/>
              <w:left w:val="nil"/>
              <w:bottom w:val="single" w:sz="8" w:space="0" w:color="auto"/>
              <w:right w:val="single" w:sz="8" w:space="0" w:color="auto"/>
            </w:tcBorders>
            <w:shd w:val="clear" w:color="auto" w:fill="auto"/>
            <w:noWrap/>
            <w:vAlign w:val="bottom"/>
            <w:hideMark/>
          </w:tcPr>
          <w:p w:rsidR="00144576" w:rsidRPr="00144576" w:rsidRDefault="00144576" w:rsidP="00144576">
            <w:pPr>
              <w:spacing w:after="0" w:line="240" w:lineRule="auto"/>
              <w:jc w:val="right"/>
              <w:rPr>
                <w:rFonts w:ascii="Times New Roman" w:hAnsi="Times New Roman"/>
                <w:b/>
                <w:bCs/>
                <w:color w:val="000000"/>
                <w:lang w:eastAsia="en-US"/>
              </w:rPr>
            </w:pPr>
            <w:r w:rsidRPr="00144576">
              <w:rPr>
                <w:rFonts w:ascii="Times New Roman" w:hAnsi="Times New Roman"/>
                <w:b/>
                <w:bCs/>
                <w:color w:val="000000"/>
                <w:lang w:eastAsia="en-US"/>
              </w:rPr>
              <w:t xml:space="preserve">$13,252,962 </w:t>
            </w:r>
          </w:p>
        </w:tc>
      </w:tr>
    </w:tbl>
    <w:p w:rsidR="00DB155C" w:rsidRDefault="00DB155C">
      <w:pPr>
        <w:spacing w:after="0" w:line="240" w:lineRule="auto"/>
        <w:rPr>
          <w:rFonts w:ascii="Times New Roman" w:hAnsi="Times New Roman"/>
          <w:sz w:val="24"/>
          <w:szCs w:val="24"/>
        </w:rPr>
      </w:pPr>
    </w:p>
    <w:p w:rsidR="00144576" w:rsidRDefault="00144576" w:rsidP="00DB155C">
      <w:pPr>
        <w:rPr>
          <w:rFonts w:ascii="Times New Roman" w:hAnsi="Times New Roman"/>
          <w:sz w:val="24"/>
          <w:szCs w:val="24"/>
        </w:rPr>
      </w:pPr>
    </w:p>
    <w:p w:rsidR="00144576" w:rsidRDefault="00144576" w:rsidP="00DB155C">
      <w:pPr>
        <w:rPr>
          <w:rFonts w:ascii="Times New Roman" w:hAnsi="Times New Roman"/>
          <w:sz w:val="24"/>
          <w:szCs w:val="24"/>
        </w:rPr>
      </w:pPr>
    </w:p>
    <w:p w:rsidR="00144576" w:rsidRDefault="00144576" w:rsidP="00DB155C">
      <w:pPr>
        <w:rPr>
          <w:rFonts w:ascii="Times New Roman" w:hAnsi="Times New Roman"/>
          <w:sz w:val="24"/>
          <w:szCs w:val="24"/>
        </w:rPr>
      </w:pPr>
    </w:p>
    <w:p w:rsidR="00144576" w:rsidRDefault="00144576" w:rsidP="00DB155C">
      <w:pPr>
        <w:rPr>
          <w:rFonts w:ascii="Times New Roman" w:hAnsi="Times New Roman"/>
          <w:sz w:val="24"/>
          <w:szCs w:val="24"/>
        </w:rPr>
      </w:pPr>
    </w:p>
    <w:p w:rsidR="00144576" w:rsidRDefault="00144576" w:rsidP="00DB155C">
      <w:pPr>
        <w:rPr>
          <w:rFonts w:ascii="Times New Roman" w:hAnsi="Times New Roman"/>
          <w:sz w:val="24"/>
          <w:szCs w:val="24"/>
        </w:rPr>
      </w:pPr>
    </w:p>
    <w:p w:rsidR="00144576" w:rsidRDefault="00144576" w:rsidP="00DB155C">
      <w:pPr>
        <w:rPr>
          <w:rFonts w:ascii="Times New Roman" w:hAnsi="Times New Roman"/>
          <w:sz w:val="24"/>
          <w:szCs w:val="24"/>
        </w:rPr>
      </w:pPr>
    </w:p>
    <w:p w:rsidR="00DB155C" w:rsidRDefault="00DB155C" w:rsidP="00DB155C">
      <w:pPr>
        <w:rPr>
          <w:rFonts w:ascii="Times New Roman" w:hAnsi="Times New Roman"/>
          <w:sz w:val="24"/>
          <w:szCs w:val="24"/>
        </w:rPr>
      </w:pPr>
      <w:r>
        <w:rPr>
          <w:rFonts w:ascii="Times New Roman" w:hAnsi="Times New Roman"/>
          <w:sz w:val="24"/>
          <w:szCs w:val="24"/>
        </w:rPr>
        <w:lastRenderedPageBreak/>
        <w:t>Scenario 5 2014 (1/2)</w:t>
      </w:r>
    </w:p>
    <w:p w:rsidR="004927C1" w:rsidRDefault="004927C1" w:rsidP="00DB155C">
      <w:pPr>
        <w:rPr>
          <w:rFonts w:ascii="Times New Roman" w:hAnsi="Times New Roman"/>
          <w:sz w:val="24"/>
          <w:szCs w:val="24"/>
        </w:rPr>
      </w:pPr>
      <w:r w:rsidRPr="004927C1">
        <w:rPr>
          <w:noProof/>
          <w:szCs w:val="24"/>
          <w:lang w:eastAsia="en-US"/>
        </w:rPr>
        <w:drawing>
          <wp:inline distT="0" distB="0" distL="0" distR="0">
            <wp:extent cx="8197850" cy="3434715"/>
            <wp:effectExtent l="19050" t="0" r="0"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srcRect/>
                    <a:stretch>
                      <a:fillRect/>
                    </a:stretch>
                  </pic:blipFill>
                  <pic:spPr bwMode="auto">
                    <a:xfrm>
                      <a:off x="0" y="0"/>
                      <a:ext cx="8197850" cy="3434715"/>
                    </a:xfrm>
                    <a:prstGeom prst="rect">
                      <a:avLst/>
                    </a:prstGeom>
                    <a:noFill/>
                    <a:ln w="9525">
                      <a:noFill/>
                      <a:miter lim="800000"/>
                      <a:headEnd/>
                      <a:tailEnd/>
                    </a:ln>
                  </pic:spPr>
                </pic:pic>
              </a:graphicData>
            </a:graphic>
          </wp:inline>
        </w:drawing>
      </w:r>
    </w:p>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5 2014 (2/2)</w:t>
      </w:r>
    </w:p>
    <w:tbl>
      <w:tblPr>
        <w:tblW w:w="13860" w:type="dxa"/>
        <w:tblInd w:w="91" w:type="dxa"/>
        <w:tblLook w:val="04A0"/>
      </w:tblPr>
      <w:tblGrid>
        <w:gridCol w:w="3640"/>
        <w:gridCol w:w="2860"/>
        <w:gridCol w:w="2060"/>
        <w:gridCol w:w="2320"/>
        <w:gridCol w:w="1350"/>
        <w:gridCol w:w="1720"/>
      </w:tblGrid>
      <w:tr w:rsidR="00DA2CFB" w:rsidRPr="00DA2CFB" w:rsidTr="00DA2CFB">
        <w:trPr>
          <w:trHeight w:val="315"/>
        </w:trPr>
        <w:tc>
          <w:tcPr>
            <w:tcW w:w="1386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DA2CFB" w:rsidRPr="00DA2CFB" w:rsidRDefault="00DA2CFB" w:rsidP="00DA2CFB">
            <w:pPr>
              <w:spacing w:after="0" w:line="240" w:lineRule="auto"/>
              <w:jc w:val="center"/>
              <w:rPr>
                <w:rFonts w:ascii="Times New Roman" w:hAnsi="Times New Roman"/>
                <w:b/>
                <w:bCs/>
                <w:color w:val="FFFFFF"/>
                <w:sz w:val="24"/>
                <w:szCs w:val="24"/>
                <w:lang w:eastAsia="en-US"/>
              </w:rPr>
            </w:pPr>
            <w:r w:rsidRPr="00DA2CFB">
              <w:rPr>
                <w:rFonts w:ascii="Times New Roman" w:hAnsi="Times New Roman"/>
                <w:b/>
                <w:bCs/>
                <w:color w:val="FFFFFF"/>
                <w:sz w:val="24"/>
                <w:szCs w:val="24"/>
                <w:lang w:eastAsia="en-US"/>
              </w:rPr>
              <w:t>Federal Tax</w:t>
            </w:r>
          </w:p>
        </w:tc>
      </w:tr>
      <w:tr w:rsidR="00DA2CFB" w:rsidRPr="00DA2CFB" w:rsidTr="00DA2CFB">
        <w:trPr>
          <w:trHeight w:val="315"/>
        </w:trPr>
        <w:tc>
          <w:tcPr>
            <w:tcW w:w="3640" w:type="dxa"/>
            <w:tcBorders>
              <w:top w:val="nil"/>
              <w:left w:val="single" w:sz="8" w:space="0" w:color="auto"/>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Employee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Indirect Business Tax</w:t>
            </w:r>
          </w:p>
        </w:tc>
        <w:tc>
          <w:tcPr>
            <w:tcW w:w="126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Households</w:t>
            </w:r>
          </w:p>
        </w:tc>
        <w:tc>
          <w:tcPr>
            <w:tcW w:w="172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Corporations</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$643,546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$74,192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$836,194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$87,582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$36,956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$0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$271,580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$846,053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15"/>
        </w:trPr>
        <w:tc>
          <w:tcPr>
            <w:tcW w:w="3640" w:type="dxa"/>
            <w:tcBorders>
              <w:top w:val="nil"/>
              <w:left w:val="single" w:sz="8" w:space="0" w:color="auto"/>
              <w:bottom w:val="nil"/>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$1,479,740 </w:t>
            </w:r>
          </w:p>
        </w:tc>
        <w:tc>
          <w:tcPr>
            <w:tcW w:w="206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$74,192 </w:t>
            </w:r>
          </w:p>
        </w:tc>
        <w:tc>
          <w:tcPr>
            <w:tcW w:w="232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$124,538 </w:t>
            </w:r>
          </w:p>
        </w:tc>
        <w:tc>
          <w:tcPr>
            <w:tcW w:w="126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$846,053 </w:t>
            </w:r>
          </w:p>
        </w:tc>
        <w:tc>
          <w:tcPr>
            <w:tcW w:w="172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$271,580 </w:t>
            </w:r>
          </w:p>
        </w:tc>
      </w:tr>
      <w:tr w:rsidR="00DA2CFB" w:rsidRPr="00DA2CFB" w:rsidTr="00DA2CFB">
        <w:trPr>
          <w:trHeight w:val="315"/>
        </w:trPr>
        <w:tc>
          <w:tcPr>
            <w:tcW w:w="3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Total</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jc w:val="right"/>
              <w:rPr>
                <w:rFonts w:ascii="Times New Roman" w:hAnsi="Times New Roman"/>
                <w:b/>
                <w:bCs/>
                <w:color w:val="000000"/>
                <w:lang w:eastAsia="en-US"/>
              </w:rPr>
            </w:pPr>
            <w:r w:rsidRPr="00DA2CFB">
              <w:rPr>
                <w:rFonts w:ascii="Times New Roman" w:hAnsi="Times New Roman"/>
                <w:b/>
                <w:bCs/>
                <w:color w:val="000000"/>
                <w:lang w:eastAsia="en-US"/>
              </w:rPr>
              <w:t xml:space="preserve">$2,796,103 </w:t>
            </w:r>
          </w:p>
        </w:tc>
      </w:tr>
    </w:tbl>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5 2016 (1/2)</w:t>
      </w:r>
    </w:p>
    <w:p w:rsidR="004927C1" w:rsidRDefault="004927C1" w:rsidP="00DB155C">
      <w:pPr>
        <w:rPr>
          <w:rFonts w:ascii="Times New Roman" w:hAnsi="Times New Roman"/>
          <w:sz w:val="24"/>
          <w:szCs w:val="24"/>
        </w:rPr>
      </w:pPr>
      <w:r w:rsidRPr="004927C1">
        <w:rPr>
          <w:noProof/>
          <w:szCs w:val="24"/>
          <w:lang w:eastAsia="en-US"/>
        </w:rPr>
        <w:drawing>
          <wp:inline distT="0" distB="0" distL="0" distR="0">
            <wp:extent cx="8277225" cy="3434715"/>
            <wp:effectExtent l="19050" t="0" r="9525" b="0"/>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srcRect/>
                    <a:stretch>
                      <a:fillRect/>
                    </a:stretch>
                  </pic:blipFill>
                  <pic:spPr bwMode="auto">
                    <a:xfrm>
                      <a:off x="0" y="0"/>
                      <a:ext cx="8277225" cy="3434715"/>
                    </a:xfrm>
                    <a:prstGeom prst="rect">
                      <a:avLst/>
                    </a:prstGeom>
                    <a:noFill/>
                    <a:ln w="9525">
                      <a:noFill/>
                      <a:miter lim="800000"/>
                      <a:headEnd/>
                      <a:tailEnd/>
                    </a:ln>
                  </pic:spPr>
                </pic:pic>
              </a:graphicData>
            </a:graphic>
          </wp:inline>
        </w:drawing>
      </w:r>
    </w:p>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5 2016 (2/2)</w:t>
      </w:r>
    </w:p>
    <w:tbl>
      <w:tblPr>
        <w:tblW w:w="13860" w:type="dxa"/>
        <w:tblInd w:w="91" w:type="dxa"/>
        <w:tblLook w:val="04A0"/>
      </w:tblPr>
      <w:tblGrid>
        <w:gridCol w:w="3640"/>
        <w:gridCol w:w="2860"/>
        <w:gridCol w:w="2060"/>
        <w:gridCol w:w="2320"/>
        <w:gridCol w:w="1350"/>
        <w:gridCol w:w="1720"/>
      </w:tblGrid>
      <w:tr w:rsidR="00DA2CFB" w:rsidRPr="00DA2CFB" w:rsidTr="00DA2CFB">
        <w:trPr>
          <w:trHeight w:val="315"/>
        </w:trPr>
        <w:tc>
          <w:tcPr>
            <w:tcW w:w="1386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DA2CFB" w:rsidRPr="00DA2CFB" w:rsidRDefault="00DA2CFB" w:rsidP="00DA2CFB">
            <w:pPr>
              <w:spacing w:after="0" w:line="240" w:lineRule="auto"/>
              <w:jc w:val="center"/>
              <w:rPr>
                <w:rFonts w:ascii="Times New Roman" w:hAnsi="Times New Roman"/>
                <w:b/>
                <w:bCs/>
                <w:color w:val="FFFFFF"/>
                <w:sz w:val="24"/>
                <w:szCs w:val="24"/>
                <w:lang w:eastAsia="en-US"/>
              </w:rPr>
            </w:pPr>
            <w:r w:rsidRPr="00DA2CFB">
              <w:rPr>
                <w:rFonts w:ascii="Times New Roman" w:hAnsi="Times New Roman"/>
                <w:b/>
                <w:bCs/>
                <w:color w:val="FFFFFF"/>
                <w:sz w:val="24"/>
                <w:szCs w:val="24"/>
                <w:lang w:eastAsia="en-US"/>
              </w:rPr>
              <w:t>Federal Tax</w:t>
            </w:r>
          </w:p>
        </w:tc>
      </w:tr>
      <w:tr w:rsidR="00DA2CFB" w:rsidRPr="00DA2CFB" w:rsidTr="00DA2CFB">
        <w:trPr>
          <w:trHeight w:val="315"/>
        </w:trPr>
        <w:tc>
          <w:tcPr>
            <w:tcW w:w="3640" w:type="dxa"/>
            <w:tcBorders>
              <w:top w:val="nil"/>
              <w:left w:val="single" w:sz="8" w:space="0" w:color="auto"/>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Description</w:t>
            </w:r>
          </w:p>
        </w:tc>
        <w:tc>
          <w:tcPr>
            <w:tcW w:w="286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Employee Compensation</w:t>
            </w:r>
          </w:p>
        </w:tc>
        <w:tc>
          <w:tcPr>
            <w:tcW w:w="206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Proprietor Income</w:t>
            </w:r>
          </w:p>
        </w:tc>
        <w:tc>
          <w:tcPr>
            <w:tcW w:w="232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Indirect Business Tax</w:t>
            </w:r>
          </w:p>
        </w:tc>
        <w:tc>
          <w:tcPr>
            <w:tcW w:w="126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Households</w:t>
            </w:r>
          </w:p>
        </w:tc>
        <w:tc>
          <w:tcPr>
            <w:tcW w:w="172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Corporations</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Social Ins Tax- Employee Contribution</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$1,466,886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$170,088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Social Ins Tax- Employer Contribution</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$1,906,005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Excise Taxes</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$200,474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Custom Duty</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$84,591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Fed NonTaxes</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$0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Corporate Profits Tax</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$619,708 </w:t>
            </w:r>
          </w:p>
        </w:tc>
      </w:tr>
      <w:tr w:rsidR="00DA2CFB" w:rsidRPr="00DA2CFB" w:rsidTr="00DA2CFB">
        <w:trPr>
          <w:trHeight w:val="300"/>
        </w:trPr>
        <w:tc>
          <w:tcPr>
            <w:tcW w:w="364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Personal Tax: Income Tax</w:t>
            </w:r>
          </w:p>
        </w:tc>
        <w:tc>
          <w:tcPr>
            <w:tcW w:w="28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6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$1,929,885 </w:t>
            </w:r>
          </w:p>
        </w:tc>
        <w:tc>
          <w:tcPr>
            <w:tcW w:w="172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15"/>
        </w:trPr>
        <w:tc>
          <w:tcPr>
            <w:tcW w:w="3640" w:type="dxa"/>
            <w:tcBorders>
              <w:top w:val="nil"/>
              <w:left w:val="single" w:sz="8" w:space="0" w:color="auto"/>
              <w:bottom w:val="nil"/>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Total Federal Tax</w:t>
            </w:r>
          </w:p>
        </w:tc>
        <w:tc>
          <w:tcPr>
            <w:tcW w:w="286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$3,372,891 </w:t>
            </w:r>
          </w:p>
        </w:tc>
        <w:tc>
          <w:tcPr>
            <w:tcW w:w="206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$170,088 </w:t>
            </w:r>
          </w:p>
        </w:tc>
        <w:tc>
          <w:tcPr>
            <w:tcW w:w="232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$285,065 </w:t>
            </w:r>
          </w:p>
        </w:tc>
        <w:tc>
          <w:tcPr>
            <w:tcW w:w="126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$1,929,885 </w:t>
            </w:r>
          </w:p>
        </w:tc>
        <w:tc>
          <w:tcPr>
            <w:tcW w:w="172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$619,708 </w:t>
            </w:r>
          </w:p>
        </w:tc>
      </w:tr>
      <w:tr w:rsidR="00DA2CFB" w:rsidRPr="00DA2CFB" w:rsidTr="00DA2CFB">
        <w:trPr>
          <w:trHeight w:val="315"/>
        </w:trPr>
        <w:tc>
          <w:tcPr>
            <w:tcW w:w="3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32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Total</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jc w:val="right"/>
              <w:rPr>
                <w:rFonts w:ascii="Times New Roman" w:hAnsi="Times New Roman"/>
                <w:b/>
                <w:bCs/>
                <w:color w:val="000000"/>
                <w:lang w:eastAsia="en-US"/>
              </w:rPr>
            </w:pPr>
            <w:r w:rsidRPr="00DA2CFB">
              <w:rPr>
                <w:rFonts w:ascii="Times New Roman" w:hAnsi="Times New Roman"/>
                <w:b/>
                <w:bCs/>
                <w:color w:val="000000"/>
                <w:lang w:eastAsia="en-US"/>
              </w:rPr>
              <w:t xml:space="preserve">$6,377,637 </w:t>
            </w:r>
          </w:p>
        </w:tc>
      </w:tr>
    </w:tbl>
    <w:p w:rsidR="00DA2CFB" w:rsidRDefault="00DA2CFB" w:rsidP="00DB155C">
      <w:pPr>
        <w:rPr>
          <w:rFonts w:ascii="Times New Roman" w:hAnsi="Times New Roman"/>
          <w:sz w:val="24"/>
          <w:szCs w:val="24"/>
        </w:rPr>
      </w:pPr>
    </w:p>
    <w:p w:rsidR="00DB155C" w:rsidRDefault="00DB155C" w:rsidP="00DB155C">
      <w:pP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5 2023 (1/2)</w:t>
      </w:r>
    </w:p>
    <w:tbl>
      <w:tblPr>
        <w:tblW w:w="14900" w:type="dxa"/>
        <w:tblInd w:w="91" w:type="dxa"/>
        <w:tblLook w:val="04A0"/>
      </w:tblPr>
      <w:tblGrid>
        <w:gridCol w:w="1230"/>
        <w:gridCol w:w="3600"/>
        <w:gridCol w:w="2780"/>
        <w:gridCol w:w="2000"/>
        <w:gridCol w:w="2340"/>
        <w:gridCol w:w="1350"/>
        <w:gridCol w:w="1700"/>
      </w:tblGrid>
      <w:tr w:rsidR="00DA2CFB" w:rsidRPr="00DA2CFB" w:rsidTr="00DA2CFB">
        <w:trPr>
          <w:trHeight w:val="330"/>
        </w:trPr>
        <w:tc>
          <w:tcPr>
            <w:tcW w:w="14900" w:type="dxa"/>
            <w:gridSpan w:val="7"/>
            <w:tcBorders>
              <w:top w:val="single" w:sz="8" w:space="0" w:color="auto"/>
              <w:left w:val="single" w:sz="8" w:space="0" w:color="auto"/>
              <w:bottom w:val="nil"/>
              <w:right w:val="single" w:sz="8" w:space="0" w:color="000000"/>
            </w:tcBorders>
            <w:shd w:val="clear" w:color="000000" w:fill="1F497D"/>
            <w:noWrap/>
            <w:vAlign w:val="center"/>
            <w:hideMark/>
          </w:tcPr>
          <w:p w:rsidR="00DA2CFB" w:rsidRPr="00DA2CFB" w:rsidRDefault="00DA2CFB" w:rsidP="00DA2CFB">
            <w:pPr>
              <w:spacing w:after="0" w:line="240" w:lineRule="auto"/>
              <w:jc w:val="center"/>
              <w:rPr>
                <w:rFonts w:ascii="Times New Roman" w:hAnsi="Times New Roman"/>
                <w:b/>
                <w:bCs/>
                <w:color w:val="FFFFFF"/>
                <w:sz w:val="24"/>
                <w:szCs w:val="24"/>
                <w:lang w:eastAsia="en-US"/>
              </w:rPr>
            </w:pPr>
            <w:r w:rsidRPr="00DA2CFB">
              <w:rPr>
                <w:rFonts w:ascii="Times New Roman" w:hAnsi="Times New Roman"/>
                <w:b/>
                <w:bCs/>
                <w:color w:val="FFFFFF"/>
                <w:sz w:val="24"/>
                <w:szCs w:val="24"/>
                <w:lang w:eastAsia="en-US"/>
              </w:rPr>
              <w:t>State and Local Tax</w:t>
            </w:r>
          </w:p>
        </w:tc>
      </w:tr>
      <w:tr w:rsidR="00DA2CFB" w:rsidRPr="00DA2CFB" w:rsidTr="00DA2CFB">
        <w:trPr>
          <w:trHeight w:val="315"/>
        </w:trPr>
        <w:tc>
          <w:tcPr>
            <w:tcW w:w="1200" w:type="dxa"/>
            <w:tcBorders>
              <w:top w:val="single" w:sz="8" w:space="0" w:color="auto"/>
              <w:left w:val="single" w:sz="8" w:space="0" w:color="auto"/>
              <w:bottom w:val="single" w:sz="4" w:space="0" w:color="auto"/>
              <w:right w:val="single" w:sz="8" w:space="0" w:color="auto"/>
            </w:tcBorders>
            <w:shd w:val="clear" w:color="000000" w:fill="8DB4E3"/>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Allocation</w:t>
            </w:r>
          </w:p>
        </w:tc>
        <w:tc>
          <w:tcPr>
            <w:tcW w:w="3600" w:type="dxa"/>
            <w:tcBorders>
              <w:top w:val="single" w:sz="8" w:space="0" w:color="auto"/>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Description</w:t>
            </w:r>
          </w:p>
        </w:tc>
        <w:tc>
          <w:tcPr>
            <w:tcW w:w="2780" w:type="dxa"/>
            <w:tcBorders>
              <w:top w:val="single" w:sz="8" w:space="0" w:color="auto"/>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Employee Compensation</w:t>
            </w:r>
          </w:p>
        </w:tc>
        <w:tc>
          <w:tcPr>
            <w:tcW w:w="2000" w:type="dxa"/>
            <w:tcBorders>
              <w:top w:val="single" w:sz="8" w:space="0" w:color="auto"/>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Proprietor Income</w:t>
            </w:r>
          </w:p>
        </w:tc>
        <w:tc>
          <w:tcPr>
            <w:tcW w:w="2340" w:type="dxa"/>
            <w:tcBorders>
              <w:top w:val="single" w:sz="8" w:space="0" w:color="auto"/>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Indirect Business Tax</w:t>
            </w:r>
          </w:p>
        </w:tc>
        <w:tc>
          <w:tcPr>
            <w:tcW w:w="1280" w:type="dxa"/>
            <w:tcBorders>
              <w:top w:val="single" w:sz="8" w:space="0" w:color="auto"/>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Households</w:t>
            </w:r>
          </w:p>
        </w:tc>
        <w:tc>
          <w:tcPr>
            <w:tcW w:w="1700" w:type="dxa"/>
            <w:tcBorders>
              <w:top w:val="single" w:sz="8" w:space="0" w:color="auto"/>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Corporations</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Dividends</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$10,606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Social Ins Tax- Employee Contribution</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$6,003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$0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15"/>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Social Ins Tax- Employer Contribution</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$10,641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Split (70/30)</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Sales Tax</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$5,236,073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Property Tax</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$3,565,471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Motor Vehicle Lic</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$172,782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Severance Tax</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$128,538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Other Taxes</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$223,348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Local</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S/L NonTaxes</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$939,305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Corporate Profits Tax</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$357,084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Personal Tax: Income Tax</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$2,693,611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Personal Tax: NonTaxes (Fines- Fees</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$418,228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Personal Tax: Motor Vehicle License</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$232,754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12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State</w:t>
            </w:r>
          </w:p>
        </w:tc>
        <w:tc>
          <w:tcPr>
            <w:tcW w:w="36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Personal Tax: Property Taxes</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$48,896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15"/>
        </w:trPr>
        <w:tc>
          <w:tcPr>
            <w:tcW w:w="1200" w:type="dxa"/>
            <w:tcBorders>
              <w:top w:val="nil"/>
              <w:left w:val="single" w:sz="8" w:space="0" w:color="auto"/>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jc w:val="center"/>
              <w:rPr>
                <w:rFonts w:ascii="Times New Roman" w:hAnsi="Times New Roman"/>
                <w:color w:val="000000"/>
                <w:lang w:eastAsia="en-US"/>
              </w:rPr>
            </w:pPr>
            <w:r w:rsidRPr="00DA2CFB">
              <w:rPr>
                <w:rFonts w:ascii="Times New Roman" w:hAnsi="Times New Roman"/>
                <w:color w:val="000000"/>
                <w:lang w:eastAsia="en-US"/>
              </w:rPr>
              <w:t>State</w:t>
            </w:r>
          </w:p>
        </w:tc>
        <w:tc>
          <w:tcPr>
            <w:tcW w:w="360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Personal Tax: Other Tax (Fish/Hunt)</w:t>
            </w:r>
          </w:p>
        </w:tc>
        <w:tc>
          <w:tcPr>
            <w:tcW w:w="278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$147,361 </w:t>
            </w:r>
          </w:p>
        </w:tc>
        <w:tc>
          <w:tcPr>
            <w:tcW w:w="170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360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Total State and Local Tax</w:t>
            </w:r>
          </w:p>
        </w:tc>
        <w:tc>
          <w:tcPr>
            <w:tcW w:w="278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$16,644 </w:t>
            </w:r>
          </w:p>
        </w:tc>
        <w:tc>
          <w:tcPr>
            <w:tcW w:w="200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$0 </w:t>
            </w:r>
          </w:p>
        </w:tc>
        <w:tc>
          <w:tcPr>
            <w:tcW w:w="234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$10,265,517 </w:t>
            </w:r>
          </w:p>
        </w:tc>
        <w:tc>
          <w:tcPr>
            <w:tcW w:w="128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$3,540,851 </w:t>
            </w:r>
          </w:p>
        </w:tc>
        <w:tc>
          <w:tcPr>
            <w:tcW w:w="170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$367,690 </w:t>
            </w:r>
          </w:p>
        </w:tc>
      </w:tr>
      <w:tr w:rsidR="00DA2CFB" w:rsidRPr="00DA2CFB" w:rsidTr="00DA2CFB">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360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78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00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34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128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Total</w:t>
            </w:r>
          </w:p>
        </w:tc>
        <w:tc>
          <w:tcPr>
            <w:tcW w:w="1700" w:type="dxa"/>
            <w:tcBorders>
              <w:top w:val="nil"/>
              <w:left w:val="nil"/>
              <w:bottom w:val="single" w:sz="8"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b/>
                <w:bCs/>
                <w:color w:val="000000"/>
                <w:lang w:eastAsia="en-US"/>
              </w:rPr>
            </w:pPr>
            <w:r w:rsidRPr="00DA2CFB">
              <w:rPr>
                <w:rFonts w:ascii="Times New Roman" w:hAnsi="Times New Roman"/>
                <w:b/>
                <w:bCs/>
                <w:color w:val="000000"/>
                <w:lang w:eastAsia="en-US"/>
              </w:rPr>
              <w:t xml:space="preserve">$14,190,702.00 </w:t>
            </w:r>
          </w:p>
        </w:tc>
      </w:tr>
    </w:tbl>
    <w:p w:rsidR="00DB155C" w:rsidRDefault="00DB155C" w:rsidP="00DB155C">
      <w:pPr>
        <w:jc w:val="center"/>
        <w:rPr>
          <w:rFonts w:ascii="Times New Roman" w:hAnsi="Times New Roman"/>
          <w:sz w:val="24"/>
          <w:szCs w:val="24"/>
        </w:rPr>
      </w:pPr>
    </w:p>
    <w:p w:rsidR="00DB155C" w:rsidRDefault="00DB155C">
      <w:pPr>
        <w:spacing w:after="0" w:line="240" w:lineRule="auto"/>
        <w:rPr>
          <w:rFonts w:ascii="Times New Roman" w:hAnsi="Times New Roman"/>
          <w:sz w:val="24"/>
          <w:szCs w:val="24"/>
        </w:rPr>
      </w:pPr>
      <w:r>
        <w:rPr>
          <w:rFonts w:ascii="Times New Roman" w:hAnsi="Times New Roman"/>
          <w:sz w:val="24"/>
          <w:szCs w:val="24"/>
        </w:rPr>
        <w:br w:type="page"/>
      </w:r>
    </w:p>
    <w:p w:rsidR="00DB155C" w:rsidRDefault="00DB155C" w:rsidP="00DB155C">
      <w:pPr>
        <w:rPr>
          <w:rFonts w:ascii="Times New Roman" w:hAnsi="Times New Roman"/>
          <w:sz w:val="24"/>
          <w:szCs w:val="24"/>
        </w:rPr>
      </w:pPr>
      <w:r>
        <w:rPr>
          <w:rFonts w:ascii="Times New Roman" w:hAnsi="Times New Roman"/>
          <w:sz w:val="24"/>
          <w:szCs w:val="24"/>
        </w:rPr>
        <w:lastRenderedPageBreak/>
        <w:t>Scenario 5 2023 (2/2)</w:t>
      </w:r>
    </w:p>
    <w:tbl>
      <w:tblPr>
        <w:tblW w:w="13700" w:type="dxa"/>
        <w:tblInd w:w="91" w:type="dxa"/>
        <w:tblLook w:val="04A0"/>
      </w:tblPr>
      <w:tblGrid>
        <w:gridCol w:w="3600"/>
        <w:gridCol w:w="2780"/>
        <w:gridCol w:w="2000"/>
        <w:gridCol w:w="2340"/>
        <w:gridCol w:w="1350"/>
        <w:gridCol w:w="1700"/>
      </w:tblGrid>
      <w:tr w:rsidR="00DA2CFB" w:rsidRPr="00DA2CFB" w:rsidTr="00DA2CFB">
        <w:trPr>
          <w:trHeight w:val="315"/>
        </w:trPr>
        <w:tc>
          <w:tcPr>
            <w:tcW w:w="13700" w:type="dxa"/>
            <w:gridSpan w:val="6"/>
            <w:tcBorders>
              <w:top w:val="single" w:sz="8" w:space="0" w:color="auto"/>
              <w:left w:val="single" w:sz="8" w:space="0" w:color="auto"/>
              <w:bottom w:val="single" w:sz="4" w:space="0" w:color="auto"/>
              <w:right w:val="single" w:sz="8" w:space="0" w:color="auto"/>
            </w:tcBorders>
            <w:shd w:val="clear" w:color="000000" w:fill="1F497D"/>
            <w:noWrap/>
            <w:vAlign w:val="center"/>
            <w:hideMark/>
          </w:tcPr>
          <w:p w:rsidR="00DA2CFB" w:rsidRPr="00DA2CFB" w:rsidRDefault="00DA2CFB" w:rsidP="00DA2CFB">
            <w:pPr>
              <w:spacing w:after="0" w:line="240" w:lineRule="auto"/>
              <w:jc w:val="center"/>
              <w:rPr>
                <w:rFonts w:ascii="Times New Roman" w:hAnsi="Times New Roman"/>
                <w:b/>
                <w:bCs/>
                <w:color w:val="FFFFFF"/>
                <w:sz w:val="24"/>
                <w:szCs w:val="24"/>
                <w:lang w:eastAsia="en-US"/>
              </w:rPr>
            </w:pPr>
            <w:r w:rsidRPr="00DA2CFB">
              <w:rPr>
                <w:rFonts w:ascii="Times New Roman" w:hAnsi="Times New Roman"/>
                <w:b/>
                <w:bCs/>
                <w:color w:val="FFFFFF"/>
                <w:sz w:val="24"/>
                <w:szCs w:val="24"/>
                <w:lang w:eastAsia="en-US"/>
              </w:rPr>
              <w:t>Federal Tax</w:t>
            </w:r>
          </w:p>
        </w:tc>
      </w:tr>
      <w:tr w:rsidR="00DA2CFB" w:rsidRPr="00DA2CFB" w:rsidTr="00DA2CFB">
        <w:trPr>
          <w:trHeight w:val="315"/>
        </w:trPr>
        <w:tc>
          <w:tcPr>
            <w:tcW w:w="3600" w:type="dxa"/>
            <w:tcBorders>
              <w:top w:val="nil"/>
              <w:left w:val="single" w:sz="8" w:space="0" w:color="auto"/>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Description</w:t>
            </w:r>
          </w:p>
        </w:tc>
        <w:tc>
          <w:tcPr>
            <w:tcW w:w="278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Employee Compensation</w:t>
            </w:r>
          </w:p>
        </w:tc>
        <w:tc>
          <w:tcPr>
            <w:tcW w:w="200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Proprietor Income</w:t>
            </w:r>
          </w:p>
        </w:tc>
        <w:tc>
          <w:tcPr>
            <w:tcW w:w="234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Indirect Business Tax</w:t>
            </w:r>
          </w:p>
        </w:tc>
        <w:tc>
          <w:tcPr>
            <w:tcW w:w="128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Households</w:t>
            </w:r>
          </w:p>
        </w:tc>
        <w:tc>
          <w:tcPr>
            <w:tcW w:w="1700" w:type="dxa"/>
            <w:tcBorders>
              <w:top w:val="nil"/>
              <w:left w:val="nil"/>
              <w:bottom w:val="single" w:sz="4" w:space="0" w:color="auto"/>
              <w:right w:val="single" w:sz="8" w:space="0" w:color="auto"/>
            </w:tcBorders>
            <w:shd w:val="clear" w:color="000000" w:fill="8DB4E3"/>
            <w:noWrap/>
            <w:vAlign w:val="bottom"/>
            <w:hideMark/>
          </w:tcPr>
          <w:p w:rsidR="00DA2CFB" w:rsidRPr="00DA2CFB" w:rsidRDefault="00DA2CFB" w:rsidP="00DA2CFB">
            <w:pPr>
              <w:spacing w:after="0" w:line="240" w:lineRule="auto"/>
              <w:jc w:val="center"/>
              <w:rPr>
                <w:rFonts w:ascii="Times New Roman" w:hAnsi="Times New Roman"/>
                <w:sz w:val="24"/>
                <w:szCs w:val="24"/>
                <w:lang w:eastAsia="en-US"/>
              </w:rPr>
            </w:pPr>
            <w:r w:rsidRPr="00DA2CFB">
              <w:rPr>
                <w:rFonts w:ascii="Times New Roman" w:hAnsi="Times New Roman"/>
                <w:sz w:val="24"/>
                <w:szCs w:val="24"/>
                <w:lang w:eastAsia="en-US"/>
              </w:rPr>
              <w:t>Corporations</w:t>
            </w:r>
          </w:p>
        </w:tc>
      </w:tr>
      <w:tr w:rsidR="00DA2CFB" w:rsidRPr="00DA2CFB" w:rsidTr="00DA2CFB">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Social Ins Tax- Employee Contribution</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$5,459,563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$664,037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Social Ins Tax- Employer Contribution</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$7,093,908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Excise Taxes</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$854,621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Custom Duty</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$360,614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Indirect Bus Tax: Fed NonTaxes</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$0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Corporate Profits Tax</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$2,640,579 </w:t>
            </w:r>
          </w:p>
        </w:tc>
      </w:tr>
      <w:tr w:rsidR="00DA2CFB" w:rsidRPr="00DA2CFB" w:rsidTr="00DA2CFB">
        <w:trPr>
          <w:trHeight w:val="300"/>
        </w:trPr>
        <w:tc>
          <w:tcPr>
            <w:tcW w:w="3600" w:type="dxa"/>
            <w:tcBorders>
              <w:top w:val="nil"/>
              <w:left w:val="single" w:sz="8" w:space="0" w:color="auto"/>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Personal Tax: Income Tax</w:t>
            </w:r>
          </w:p>
        </w:tc>
        <w:tc>
          <w:tcPr>
            <w:tcW w:w="27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0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234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c>
          <w:tcPr>
            <w:tcW w:w="128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$7,227,478 </w:t>
            </w:r>
          </w:p>
        </w:tc>
        <w:tc>
          <w:tcPr>
            <w:tcW w:w="1700" w:type="dxa"/>
            <w:tcBorders>
              <w:top w:val="nil"/>
              <w:left w:val="nil"/>
              <w:bottom w:val="single" w:sz="4" w:space="0" w:color="auto"/>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 </w:t>
            </w:r>
          </w:p>
        </w:tc>
      </w:tr>
      <w:tr w:rsidR="00DA2CFB" w:rsidRPr="00DA2CFB" w:rsidTr="00DA2CFB">
        <w:trPr>
          <w:trHeight w:val="315"/>
        </w:trPr>
        <w:tc>
          <w:tcPr>
            <w:tcW w:w="3600" w:type="dxa"/>
            <w:tcBorders>
              <w:top w:val="nil"/>
              <w:left w:val="single" w:sz="8" w:space="0" w:color="auto"/>
              <w:bottom w:val="nil"/>
              <w:right w:val="single" w:sz="8" w:space="0" w:color="auto"/>
            </w:tcBorders>
            <w:shd w:val="clear" w:color="auto" w:fill="auto"/>
            <w:vAlign w:val="bottom"/>
            <w:hideMark/>
          </w:tcPr>
          <w:p w:rsidR="00DA2CFB" w:rsidRPr="00DA2CFB" w:rsidRDefault="00DA2CFB" w:rsidP="00DA2CFB">
            <w:pPr>
              <w:spacing w:after="0" w:line="240" w:lineRule="auto"/>
              <w:rPr>
                <w:rFonts w:ascii="Times New Roman" w:hAnsi="Times New Roman"/>
                <w:color w:val="000000"/>
                <w:lang w:eastAsia="en-US"/>
              </w:rPr>
            </w:pPr>
            <w:r w:rsidRPr="00DA2CFB">
              <w:rPr>
                <w:rFonts w:ascii="Times New Roman" w:hAnsi="Times New Roman"/>
                <w:color w:val="000000"/>
                <w:lang w:eastAsia="en-US"/>
              </w:rPr>
              <w:t>Total Federal Tax</w:t>
            </w:r>
          </w:p>
        </w:tc>
        <w:tc>
          <w:tcPr>
            <w:tcW w:w="278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$12,553,471 </w:t>
            </w:r>
          </w:p>
        </w:tc>
        <w:tc>
          <w:tcPr>
            <w:tcW w:w="200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$664,037 </w:t>
            </w:r>
          </w:p>
        </w:tc>
        <w:tc>
          <w:tcPr>
            <w:tcW w:w="234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$1,215,235 </w:t>
            </w:r>
          </w:p>
        </w:tc>
        <w:tc>
          <w:tcPr>
            <w:tcW w:w="128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$7,227,478 </w:t>
            </w:r>
          </w:p>
        </w:tc>
        <w:tc>
          <w:tcPr>
            <w:tcW w:w="1700" w:type="dxa"/>
            <w:tcBorders>
              <w:top w:val="nil"/>
              <w:left w:val="nil"/>
              <w:bottom w:val="nil"/>
              <w:right w:val="single" w:sz="8" w:space="0" w:color="auto"/>
            </w:tcBorders>
            <w:shd w:val="clear" w:color="auto" w:fill="auto"/>
            <w:vAlign w:val="bottom"/>
            <w:hideMark/>
          </w:tcPr>
          <w:p w:rsidR="00DA2CFB" w:rsidRPr="00DA2CFB" w:rsidRDefault="00DA2CFB" w:rsidP="00DA2CFB">
            <w:pPr>
              <w:spacing w:after="0" w:line="240" w:lineRule="auto"/>
              <w:jc w:val="right"/>
              <w:rPr>
                <w:rFonts w:ascii="Times New Roman" w:hAnsi="Times New Roman"/>
                <w:color w:val="000000"/>
                <w:lang w:eastAsia="en-US"/>
              </w:rPr>
            </w:pPr>
            <w:r w:rsidRPr="00DA2CFB">
              <w:rPr>
                <w:rFonts w:ascii="Times New Roman" w:hAnsi="Times New Roman"/>
                <w:color w:val="000000"/>
                <w:lang w:eastAsia="en-US"/>
              </w:rPr>
              <w:t xml:space="preserve">$2,640,579 </w:t>
            </w:r>
          </w:p>
        </w:tc>
      </w:tr>
      <w:tr w:rsidR="00DA2CFB" w:rsidRPr="00DA2CFB" w:rsidTr="00DA2CFB">
        <w:trPr>
          <w:trHeight w:val="31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78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00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 </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rPr>
                <w:rFonts w:ascii="Times New Roman" w:hAnsi="Times New Roman"/>
                <w:b/>
                <w:bCs/>
                <w:color w:val="000000"/>
                <w:lang w:eastAsia="en-US"/>
              </w:rPr>
            </w:pPr>
            <w:r w:rsidRPr="00DA2CFB">
              <w:rPr>
                <w:rFonts w:ascii="Times New Roman" w:hAnsi="Times New Roman"/>
                <w:b/>
                <w:bCs/>
                <w:color w:val="000000"/>
                <w:lang w:eastAsia="en-US"/>
              </w:rPr>
              <w:t>Total</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DA2CFB" w:rsidRPr="00DA2CFB" w:rsidRDefault="00DA2CFB" w:rsidP="00DA2CFB">
            <w:pPr>
              <w:spacing w:after="0" w:line="240" w:lineRule="auto"/>
              <w:jc w:val="right"/>
              <w:rPr>
                <w:rFonts w:ascii="Times New Roman" w:hAnsi="Times New Roman"/>
                <w:b/>
                <w:bCs/>
                <w:color w:val="000000"/>
                <w:lang w:eastAsia="en-US"/>
              </w:rPr>
            </w:pPr>
            <w:r w:rsidRPr="00DA2CFB">
              <w:rPr>
                <w:rFonts w:ascii="Times New Roman" w:hAnsi="Times New Roman"/>
                <w:b/>
                <w:bCs/>
                <w:color w:val="000000"/>
                <w:lang w:eastAsia="en-US"/>
              </w:rPr>
              <w:t xml:space="preserve">$24,300,800 </w:t>
            </w:r>
          </w:p>
        </w:tc>
      </w:tr>
    </w:tbl>
    <w:p w:rsidR="00DB155C" w:rsidRDefault="00DB155C" w:rsidP="00DB155C">
      <w:pPr>
        <w:jc w:val="center"/>
        <w:rPr>
          <w:rFonts w:ascii="Times New Roman" w:hAnsi="Times New Roman"/>
          <w:sz w:val="24"/>
          <w:szCs w:val="24"/>
        </w:rPr>
      </w:pPr>
    </w:p>
    <w:p w:rsidR="00DB155C" w:rsidRDefault="00DB155C" w:rsidP="00DB155C">
      <w:pPr>
        <w:rPr>
          <w:rFonts w:ascii="Times New Roman" w:hAnsi="Times New Roman"/>
          <w:sz w:val="24"/>
          <w:szCs w:val="24"/>
        </w:rPr>
      </w:pPr>
    </w:p>
    <w:p w:rsidR="00034E5E" w:rsidRPr="003F43BC" w:rsidRDefault="00034E5E" w:rsidP="00034E5E">
      <w:pPr>
        <w:rPr>
          <w:rFonts w:ascii="Times New Roman" w:hAnsi="Times New Roman"/>
          <w:sz w:val="24"/>
          <w:szCs w:val="24"/>
        </w:rPr>
      </w:pPr>
    </w:p>
    <w:sectPr w:rsidR="00034E5E" w:rsidRPr="003F43BC" w:rsidSect="00880290">
      <w:pgSz w:w="15840" w:h="12240" w:orient="landscape"/>
      <w:pgMar w:top="1440" w:right="576" w:bottom="1440" w:left="28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E32" w:rsidRDefault="00924E32" w:rsidP="00670155">
      <w:pPr>
        <w:spacing w:after="0" w:line="240" w:lineRule="auto"/>
      </w:pPr>
      <w:r>
        <w:separator/>
      </w:r>
    </w:p>
  </w:endnote>
  <w:endnote w:type="continuationSeparator" w:id="0">
    <w:p w:rsidR="00924E32" w:rsidRDefault="00924E32" w:rsidP="006701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06" w:type="dxa"/>
      <w:tblLook w:val="01E0"/>
    </w:tblPr>
    <w:tblGrid>
      <w:gridCol w:w="9906"/>
    </w:tblGrid>
    <w:tr w:rsidR="00B37C38" w:rsidRPr="00144DBA" w:rsidTr="00AE0EFD">
      <w:trPr>
        <w:trHeight w:val="765"/>
      </w:trPr>
      <w:tc>
        <w:tcPr>
          <w:tcW w:w="9906" w:type="dxa"/>
          <w:vAlign w:val="center"/>
        </w:tcPr>
        <w:tbl>
          <w:tblPr>
            <w:tblStyle w:val="TableGrid"/>
            <w:tblW w:w="0" w:type="auto"/>
            <w:tblLook w:val="04A0"/>
          </w:tblPr>
          <w:tblGrid>
            <w:gridCol w:w="9675"/>
          </w:tblGrid>
          <w:tr w:rsidR="00B37C38" w:rsidTr="00AE0EFD">
            <w:tc>
              <w:tcPr>
                <w:tcW w:w="9675" w:type="dxa"/>
                <w:tcBorders>
                  <w:left w:val="nil"/>
                  <w:bottom w:val="nil"/>
                  <w:right w:val="nil"/>
                </w:tcBorders>
              </w:tcPr>
              <w:p w:rsidR="00B37C38" w:rsidRPr="00AE0EFD" w:rsidRDefault="00B37C38" w:rsidP="001675A5">
                <w:pPr>
                  <w:pStyle w:val="Header"/>
                  <w:jc w:val="center"/>
                  <w:rPr>
                    <w:rFonts w:asciiTheme="minorHAnsi" w:hAnsiTheme="minorHAnsi" w:cstheme="minorHAnsi"/>
                    <w:color w:val="003366"/>
                  </w:rPr>
                </w:pPr>
              </w:p>
            </w:tc>
          </w:tr>
        </w:tbl>
        <w:p w:rsidR="00B37C38" w:rsidRPr="00895B30" w:rsidRDefault="00B37C38" w:rsidP="00AF46AB">
          <w:pPr>
            <w:pStyle w:val="Header"/>
            <w:rPr>
              <w:rFonts w:ascii="Book Antiqua" w:hAnsi="Book Antiqua"/>
              <w:b/>
              <w:i/>
              <w:color w:val="003366"/>
            </w:rPr>
          </w:pPr>
        </w:p>
      </w:tc>
    </w:tr>
  </w:tbl>
  <w:p w:rsidR="00B37C38" w:rsidRPr="00766E33" w:rsidRDefault="00E431ED" w:rsidP="00410D33">
    <w:pPr>
      <w:pStyle w:val="Footer"/>
      <w:jc w:val="center"/>
      <w:rPr>
        <w:rFonts w:ascii="Times New Roman" w:hAnsi="Times New Roman"/>
        <w:sz w:val="16"/>
      </w:rPr>
    </w:pPr>
    <w:r w:rsidRPr="00766E33">
      <w:rPr>
        <w:rFonts w:ascii="Times New Roman" w:hAnsi="Times New Roman"/>
        <w:sz w:val="16"/>
      </w:rPr>
      <w:fldChar w:fldCharType="begin"/>
    </w:r>
    <w:r w:rsidR="00B37C38" w:rsidRPr="00766E33">
      <w:rPr>
        <w:rFonts w:ascii="Times New Roman" w:hAnsi="Times New Roman"/>
        <w:sz w:val="16"/>
      </w:rPr>
      <w:instrText xml:space="preserve"> PAGE   \* MERGEFORMAT </w:instrText>
    </w:r>
    <w:r w:rsidRPr="00766E33">
      <w:rPr>
        <w:rFonts w:ascii="Times New Roman" w:hAnsi="Times New Roman"/>
        <w:sz w:val="16"/>
      </w:rPr>
      <w:fldChar w:fldCharType="separate"/>
    </w:r>
    <w:r w:rsidR="00A03400">
      <w:rPr>
        <w:rFonts w:ascii="Times New Roman" w:hAnsi="Times New Roman"/>
        <w:noProof/>
        <w:sz w:val="16"/>
      </w:rPr>
      <w:t>8</w:t>
    </w:r>
    <w:r w:rsidRPr="00766E33">
      <w:rPr>
        <w:rFonts w:ascii="Times New Roman" w:hAnsi="Times New Roman"/>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06" w:type="dxa"/>
      <w:tblLook w:val="01E0"/>
    </w:tblPr>
    <w:tblGrid>
      <w:gridCol w:w="9906"/>
    </w:tblGrid>
    <w:tr w:rsidR="00B37C38" w:rsidRPr="00144DBA" w:rsidTr="00AE0EFD">
      <w:trPr>
        <w:trHeight w:val="765"/>
      </w:trPr>
      <w:tc>
        <w:tcPr>
          <w:tcW w:w="9906" w:type="dxa"/>
          <w:vAlign w:val="center"/>
        </w:tcPr>
        <w:tbl>
          <w:tblPr>
            <w:tblStyle w:val="TableGrid"/>
            <w:tblW w:w="0" w:type="auto"/>
            <w:tblLook w:val="04A0"/>
          </w:tblPr>
          <w:tblGrid>
            <w:gridCol w:w="9675"/>
          </w:tblGrid>
          <w:tr w:rsidR="00B37C38" w:rsidTr="00AE0EFD">
            <w:tc>
              <w:tcPr>
                <w:tcW w:w="9675" w:type="dxa"/>
                <w:tcBorders>
                  <w:left w:val="nil"/>
                  <w:bottom w:val="nil"/>
                  <w:right w:val="nil"/>
                </w:tcBorders>
              </w:tcPr>
              <w:p w:rsidR="00B37C38" w:rsidRPr="00AE0EFD" w:rsidRDefault="00B37C38" w:rsidP="001675A5">
                <w:pPr>
                  <w:pStyle w:val="Header"/>
                  <w:jc w:val="center"/>
                  <w:rPr>
                    <w:rFonts w:asciiTheme="minorHAnsi" w:hAnsiTheme="minorHAnsi" w:cstheme="minorHAnsi"/>
                    <w:color w:val="003366"/>
                  </w:rPr>
                </w:pPr>
              </w:p>
            </w:tc>
          </w:tr>
        </w:tbl>
        <w:p w:rsidR="00B37C38" w:rsidRPr="00895B30" w:rsidRDefault="00B37C38" w:rsidP="00AF46AB">
          <w:pPr>
            <w:pStyle w:val="Header"/>
            <w:rPr>
              <w:rFonts w:ascii="Book Antiqua" w:hAnsi="Book Antiqua"/>
              <w:b/>
              <w:i/>
              <w:color w:val="003366"/>
            </w:rPr>
          </w:pPr>
        </w:p>
      </w:tc>
    </w:tr>
  </w:tbl>
  <w:p w:rsidR="00B37C38" w:rsidRPr="00766E33" w:rsidRDefault="00E431ED" w:rsidP="00410D33">
    <w:pPr>
      <w:pStyle w:val="Footer"/>
      <w:jc w:val="center"/>
      <w:rPr>
        <w:rFonts w:ascii="Times New Roman" w:hAnsi="Times New Roman"/>
        <w:sz w:val="16"/>
      </w:rPr>
    </w:pPr>
    <w:r w:rsidRPr="00766E33">
      <w:rPr>
        <w:rFonts w:ascii="Times New Roman" w:hAnsi="Times New Roman"/>
        <w:sz w:val="16"/>
      </w:rPr>
      <w:fldChar w:fldCharType="begin"/>
    </w:r>
    <w:r w:rsidR="00B37C38" w:rsidRPr="00766E33">
      <w:rPr>
        <w:rFonts w:ascii="Times New Roman" w:hAnsi="Times New Roman"/>
        <w:sz w:val="16"/>
      </w:rPr>
      <w:instrText xml:space="preserve"> PAGE   \* MERGEFORMAT </w:instrText>
    </w:r>
    <w:r w:rsidRPr="00766E33">
      <w:rPr>
        <w:rFonts w:ascii="Times New Roman" w:hAnsi="Times New Roman"/>
        <w:sz w:val="16"/>
      </w:rPr>
      <w:fldChar w:fldCharType="separate"/>
    </w:r>
    <w:r w:rsidR="00A03400">
      <w:rPr>
        <w:rFonts w:ascii="Times New Roman" w:hAnsi="Times New Roman"/>
        <w:noProof/>
        <w:sz w:val="16"/>
      </w:rPr>
      <w:t>55</w:t>
    </w:r>
    <w:r w:rsidRPr="00766E33">
      <w:rPr>
        <w:rFonts w:ascii="Times New Roman" w:hAnsi="Times New Roman"/>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E32" w:rsidRDefault="00924E32" w:rsidP="00670155">
      <w:pPr>
        <w:spacing w:after="0" w:line="240" w:lineRule="auto"/>
      </w:pPr>
      <w:r>
        <w:separator/>
      </w:r>
    </w:p>
  </w:footnote>
  <w:footnote w:type="continuationSeparator" w:id="0">
    <w:p w:rsidR="00924E32" w:rsidRDefault="00924E32" w:rsidP="00670155">
      <w:pPr>
        <w:spacing w:after="0" w:line="240" w:lineRule="auto"/>
      </w:pPr>
      <w:r>
        <w:continuationSeparator/>
      </w:r>
    </w:p>
  </w:footnote>
  <w:footnote w:id="1">
    <w:p w:rsidR="00B37C38" w:rsidRDefault="00B37C38">
      <w:pPr>
        <w:pStyle w:val="FootnoteText"/>
      </w:pPr>
      <w:r>
        <w:rPr>
          <w:rStyle w:val="FootnoteReference"/>
        </w:rPr>
        <w:footnoteRef/>
      </w:r>
      <w:r>
        <w:t xml:space="preserve"> </w:t>
      </w:r>
      <w:r w:rsidRPr="00B76990">
        <w:rPr>
          <w:rFonts w:cs="Book Antiqua"/>
        </w:rPr>
        <w:t>National Academy for State Health Policy, “Maximizing Kids’ Enrollment in Medicaid and SCHIP”, February 2009.</w:t>
      </w:r>
    </w:p>
  </w:footnote>
  <w:footnote w:id="2">
    <w:p w:rsidR="00B37C38" w:rsidRDefault="00B37C38">
      <w:pPr>
        <w:pStyle w:val="FootnoteText"/>
      </w:pPr>
      <w:r>
        <w:rPr>
          <w:rStyle w:val="FootnoteReference"/>
        </w:rPr>
        <w:footnoteRef/>
      </w:r>
      <w:r>
        <w:t xml:space="preserve"> </w:t>
      </w:r>
      <w:r w:rsidRPr="00B76990">
        <w:t xml:space="preserve">The </w:t>
      </w:r>
      <w:proofErr w:type="spellStart"/>
      <w:r w:rsidRPr="00B76990">
        <w:t>Lewin</w:t>
      </w:r>
      <w:proofErr w:type="spellEnd"/>
      <w:r w:rsidRPr="00B76990">
        <w:t xml:space="preserve"> Group, “An Evaluation of the Impact of Medicaid Expansion in New Hampshire”, November 2012</w:t>
      </w:r>
      <w:r>
        <w:t>.</w:t>
      </w:r>
    </w:p>
  </w:footnote>
  <w:footnote w:id="3">
    <w:p w:rsidR="00B37C38" w:rsidRPr="00400E5C" w:rsidRDefault="00B37C38" w:rsidP="00400E5C">
      <w:pPr>
        <w:spacing w:line="240" w:lineRule="auto"/>
        <w:rPr>
          <w:rFonts w:ascii="Times New Roman" w:hAnsi="Times New Roman"/>
          <w:b/>
          <w:u w:val="single"/>
        </w:rPr>
      </w:pPr>
      <w:r w:rsidRPr="0022684D">
        <w:rPr>
          <w:rStyle w:val="FootnoteReference"/>
          <w:rFonts w:ascii="Times New Roman" w:hAnsi="Times New Roman"/>
        </w:rPr>
        <w:footnoteRef/>
      </w:r>
      <w:r w:rsidRPr="00400E5C">
        <w:rPr>
          <w:rFonts w:ascii="Times New Roman" w:hAnsi="Times New Roman"/>
        </w:rPr>
        <w:t xml:space="preserve"> Crowd out effect: Gruber, Jonathan, and </w:t>
      </w:r>
      <w:proofErr w:type="spellStart"/>
      <w:r w:rsidRPr="00400E5C">
        <w:rPr>
          <w:rFonts w:ascii="Times New Roman" w:hAnsi="Times New Roman"/>
        </w:rPr>
        <w:t>Kosali</w:t>
      </w:r>
      <w:proofErr w:type="spellEnd"/>
      <w:r w:rsidRPr="00400E5C">
        <w:rPr>
          <w:rFonts w:ascii="Times New Roman" w:hAnsi="Times New Roman"/>
        </w:rPr>
        <w:t xml:space="preserve"> Simon. "Crowd</w:t>
      </w:r>
      <w:r w:rsidRPr="00400E5C">
        <w:rPr>
          <w:rFonts w:ascii="Cambria Math" w:hAnsi="Cambria Math" w:cs="Cambria Math"/>
        </w:rPr>
        <w:t>‐</w:t>
      </w:r>
      <w:r w:rsidRPr="00400E5C">
        <w:rPr>
          <w:rFonts w:ascii="Times New Roman" w:hAnsi="Times New Roman"/>
        </w:rPr>
        <w:t>out 10 years later: Have recent public insurance expansions crowded out private health insurance?" Journal of Health Economics 27): 201</w:t>
      </w:r>
      <w:r w:rsidRPr="00400E5C">
        <w:rPr>
          <w:rFonts w:ascii="Cambria Math" w:hAnsi="Cambria Math" w:cs="Cambria Math"/>
        </w:rPr>
        <w:t>‐</w:t>
      </w:r>
      <w:r w:rsidRPr="00400E5C">
        <w:rPr>
          <w:rFonts w:ascii="Times New Roman" w:hAnsi="Times New Roman"/>
        </w:rPr>
        <w:t>217, 2008.</w:t>
      </w:r>
    </w:p>
    <w:p w:rsidR="00B37C38" w:rsidRPr="001710E5" w:rsidRDefault="00B37C38" w:rsidP="007D3561">
      <w:pPr>
        <w:pStyle w:val="FootnoteText"/>
        <w:rPr>
          <w:rFonts w:ascii="Times New Roman" w:hAnsi="Times New Roman"/>
        </w:rPr>
      </w:pPr>
    </w:p>
  </w:footnote>
  <w:footnote w:id="4">
    <w:p w:rsidR="00B37C38" w:rsidRPr="001710E5" w:rsidRDefault="00B37C38" w:rsidP="00737C28">
      <w:pPr>
        <w:pStyle w:val="FootnoteText"/>
        <w:rPr>
          <w:rFonts w:ascii="Times New Roman" w:hAnsi="Times New Roman"/>
        </w:rPr>
      </w:pPr>
      <w:r w:rsidRPr="0022684D">
        <w:rPr>
          <w:rStyle w:val="FootnoteReference"/>
          <w:rFonts w:ascii="Times New Roman" w:hAnsi="Times New Roman"/>
        </w:rPr>
        <w:footnoteRef/>
      </w:r>
      <w:r w:rsidRPr="0022684D">
        <w:rPr>
          <w:rFonts w:ascii="Times New Roman" w:hAnsi="Times New Roman"/>
        </w:rPr>
        <w:t xml:space="preserve"> </w:t>
      </w:r>
      <w:proofErr w:type="spellStart"/>
      <w:proofErr w:type="gramStart"/>
      <w:r w:rsidRPr="0022684D">
        <w:rPr>
          <w:rFonts w:ascii="Times New Roman" w:hAnsi="Times New Roman"/>
        </w:rPr>
        <w:t>Sommers</w:t>
      </w:r>
      <w:proofErr w:type="spellEnd"/>
      <w:r w:rsidRPr="0022684D">
        <w:rPr>
          <w:rFonts w:ascii="Times New Roman" w:hAnsi="Times New Roman"/>
        </w:rPr>
        <w:t xml:space="preserve"> BD et al. Mortality and access to care among adults after state Medicaid expansions.</w:t>
      </w:r>
      <w:proofErr w:type="gramEnd"/>
      <w:r w:rsidRPr="0022684D">
        <w:rPr>
          <w:rFonts w:ascii="Times New Roman" w:hAnsi="Times New Roman"/>
        </w:rPr>
        <w:t xml:space="preserve"> </w:t>
      </w:r>
      <w:r w:rsidRPr="0022684D">
        <w:rPr>
          <w:rStyle w:val="Emphasis"/>
          <w:rFonts w:ascii="Times New Roman" w:hAnsi="Times New Roman"/>
        </w:rPr>
        <w:t xml:space="preserve">N </w:t>
      </w:r>
      <w:proofErr w:type="spellStart"/>
      <w:r w:rsidRPr="0022684D">
        <w:rPr>
          <w:rStyle w:val="Emphasis"/>
          <w:rFonts w:ascii="Times New Roman" w:hAnsi="Times New Roman"/>
        </w:rPr>
        <w:t>Engl</w:t>
      </w:r>
      <w:proofErr w:type="spellEnd"/>
      <w:r w:rsidRPr="0022684D">
        <w:rPr>
          <w:rStyle w:val="Emphasis"/>
          <w:rFonts w:ascii="Times New Roman" w:hAnsi="Times New Roman"/>
        </w:rPr>
        <w:t xml:space="preserve"> J Med</w:t>
      </w:r>
      <w:r w:rsidRPr="0022684D">
        <w:rPr>
          <w:rFonts w:ascii="Times New Roman" w:hAnsi="Times New Roman"/>
        </w:rPr>
        <w:t xml:space="preserve"> 2012 Jul 25; http://www.nejm.org/doi/full/10.1056/NEJMc1212920</w:t>
      </w:r>
    </w:p>
  </w:footnote>
  <w:footnote w:id="5">
    <w:p w:rsidR="00B37C38" w:rsidRPr="001710E5" w:rsidRDefault="00B37C38" w:rsidP="007329C6">
      <w:pPr>
        <w:pStyle w:val="FootnoteText"/>
        <w:rPr>
          <w:rFonts w:ascii="Times New Roman" w:hAnsi="Times New Roman"/>
        </w:rPr>
      </w:pPr>
      <w:r w:rsidRPr="0022684D">
        <w:rPr>
          <w:rStyle w:val="FootnoteReference"/>
          <w:rFonts w:ascii="Times New Roman" w:hAnsi="Times New Roman"/>
        </w:rPr>
        <w:footnoteRef/>
      </w:r>
      <w:r w:rsidRPr="0022684D">
        <w:rPr>
          <w:rFonts w:ascii="Times New Roman" w:hAnsi="Times New Roman"/>
        </w:rPr>
        <w:t xml:space="preserve"> </w:t>
      </w:r>
      <w:proofErr w:type="gramStart"/>
      <w:r w:rsidRPr="0022684D">
        <w:rPr>
          <w:rFonts w:ascii="Times New Roman" w:hAnsi="Times New Roman"/>
        </w:rPr>
        <w:t xml:space="preserve">Heidi Allen, Katherine </w:t>
      </w:r>
      <w:proofErr w:type="spellStart"/>
      <w:r w:rsidRPr="0022684D">
        <w:rPr>
          <w:rFonts w:ascii="Times New Roman" w:hAnsi="Times New Roman"/>
        </w:rPr>
        <w:t>Baicker</w:t>
      </w:r>
      <w:proofErr w:type="spellEnd"/>
      <w:r w:rsidRPr="0022684D">
        <w:rPr>
          <w:rFonts w:ascii="Times New Roman" w:hAnsi="Times New Roman"/>
        </w:rPr>
        <w:t xml:space="preserve">, Amy Finkelstein, Sarah </w:t>
      </w:r>
      <w:proofErr w:type="spellStart"/>
      <w:r w:rsidRPr="0022684D">
        <w:rPr>
          <w:rFonts w:ascii="Times New Roman" w:hAnsi="Times New Roman"/>
        </w:rPr>
        <w:t>Taubman</w:t>
      </w:r>
      <w:proofErr w:type="spellEnd"/>
      <w:r w:rsidRPr="0022684D">
        <w:rPr>
          <w:rFonts w:ascii="Times New Roman" w:hAnsi="Times New Roman"/>
        </w:rPr>
        <w:t>, Bill J. Wright and the Oregon Health Study Group.</w:t>
      </w:r>
      <w:proofErr w:type="gramEnd"/>
      <w:r w:rsidRPr="0022684D">
        <w:rPr>
          <w:rFonts w:ascii="Times New Roman" w:hAnsi="Times New Roman"/>
        </w:rPr>
        <w:t xml:space="preserve">  </w:t>
      </w:r>
      <w:r w:rsidRPr="0022684D">
        <w:rPr>
          <w:rFonts w:ascii="Times New Roman" w:hAnsi="Times New Roman"/>
          <w:i/>
        </w:rPr>
        <w:t xml:space="preserve">What the Oregon Health Study Can Tell Us About Expanding Medicaid.  </w:t>
      </w:r>
      <w:r w:rsidRPr="0022684D">
        <w:rPr>
          <w:rFonts w:ascii="Times New Roman" w:hAnsi="Times New Roman"/>
        </w:rPr>
        <w:t>Health Affairs, 29, no.8 (2010):1498-1506.  DOI: 10.1377/hlthaff.2010.0191</w:t>
      </w:r>
    </w:p>
    <w:p w:rsidR="00B37C38" w:rsidRPr="009637FD" w:rsidRDefault="00B37C38" w:rsidP="007329C6">
      <w:pPr>
        <w:pStyle w:val="FootnoteText"/>
      </w:pPr>
    </w:p>
  </w:footnote>
  <w:footnote w:id="6">
    <w:p w:rsidR="00B37C38" w:rsidRPr="005F0901" w:rsidRDefault="00B37C38" w:rsidP="007329C6">
      <w:pPr>
        <w:pStyle w:val="FootnoteText"/>
      </w:pPr>
      <w:r>
        <w:rPr>
          <w:rStyle w:val="FootnoteReference"/>
        </w:rPr>
        <w:footnoteRef/>
      </w:r>
      <w:r>
        <w:t xml:space="preserve"> </w:t>
      </w:r>
      <w:proofErr w:type="spellStart"/>
      <w:r>
        <w:t>Muennig</w:t>
      </w:r>
      <w:proofErr w:type="spellEnd"/>
      <w:r>
        <w:t xml:space="preserve">, Peter et al. </w:t>
      </w:r>
      <w:proofErr w:type="gramStart"/>
      <w:r w:rsidRPr="005F0901">
        <w:t xml:space="preserve">The </w:t>
      </w:r>
      <w:r>
        <w:t>C</w:t>
      </w:r>
      <w:r w:rsidRPr="005F0901">
        <w:t xml:space="preserve">ost </w:t>
      </w:r>
      <w:r>
        <w:t>E</w:t>
      </w:r>
      <w:r w:rsidRPr="005F0901">
        <w:t xml:space="preserve">ffectiveness of </w:t>
      </w:r>
      <w:r>
        <w:t>H</w:t>
      </w:r>
      <w:r w:rsidRPr="005F0901">
        <w:t xml:space="preserve">ealth </w:t>
      </w:r>
      <w:r>
        <w:t>I</w:t>
      </w:r>
      <w:r w:rsidRPr="005F0901">
        <w:t>nsurance</w:t>
      </w:r>
      <w:r>
        <w:t>.</w:t>
      </w:r>
      <w:proofErr w:type="gramEnd"/>
    </w:p>
    <w:p w:rsidR="00B37C38" w:rsidRPr="009637FD" w:rsidRDefault="00B37C38" w:rsidP="007329C6">
      <w:pPr>
        <w:pStyle w:val="FootnoteText"/>
      </w:pPr>
      <w:proofErr w:type="gramStart"/>
      <w:r w:rsidRPr="009637FD">
        <w:t>American Journal of Preventive Medicine.</w:t>
      </w:r>
      <w:proofErr w:type="gramEnd"/>
      <w:r w:rsidRPr="009637FD">
        <w:t xml:space="preserve"> 1 January 2005 (volume 28 issue 1 Pages 59-64 DOI: 10.1016/j.amepre.2004.09.005</w:t>
      </w:r>
    </w:p>
    <w:p w:rsidR="00B37C38" w:rsidRDefault="00B37C38" w:rsidP="007329C6">
      <w:pPr>
        <w:pStyle w:val="FootnoteText"/>
      </w:pPr>
    </w:p>
  </w:footnote>
  <w:footnote w:id="7">
    <w:p w:rsidR="00B37C38" w:rsidRPr="008E0AC9" w:rsidRDefault="00B37C38" w:rsidP="001F3A12">
      <w:pPr>
        <w:pStyle w:val="FootnoteText"/>
        <w:rPr>
          <w:rFonts w:ascii="Times New Roman" w:hAnsi="Times New Roman"/>
        </w:rPr>
      </w:pPr>
      <w:r w:rsidRPr="0022684D">
        <w:rPr>
          <w:rStyle w:val="FootnoteReference"/>
          <w:rFonts w:ascii="Times New Roman" w:hAnsi="Times New Roman"/>
        </w:rPr>
        <w:footnoteRef/>
      </w:r>
      <w:r w:rsidRPr="0022684D">
        <w:rPr>
          <w:rFonts w:ascii="Times New Roman" w:hAnsi="Times New Roman"/>
        </w:rPr>
        <w:t xml:space="preserve"> http://www.aha.org/research/policy/finfactsheets.shtml</w:t>
      </w:r>
    </w:p>
  </w:footnote>
  <w:footnote w:id="8">
    <w:p w:rsidR="00B37C38" w:rsidRPr="00EE6B1E" w:rsidRDefault="00B37C38" w:rsidP="001F3A12">
      <w:pPr>
        <w:pStyle w:val="FootnoteText"/>
        <w:rPr>
          <w:rFonts w:ascii="Times New Roman" w:hAnsi="Times New Roman"/>
        </w:rPr>
      </w:pPr>
      <w:r w:rsidRPr="0022684D">
        <w:rPr>
          <w:rStyle w:val="FootnoteReference"/>
          <w:rFonts w:ascii="Times New Roman" w:hAnsi="Times New Roman"/>
        </w:rPr>
        <w:footnoteRef/>
      </w:r>
      <w:r w:rsidRPr="0022684D">
        <w:rPr>
          <w:rFonts w:ascii="Times New Roman" w:hAnsi="Times New Roman"/>
        </w:rPr>
        <w:t xml:space="preserve"> http://bphc.hrsa.gov/healthcenterdatastatistics/index.html#what</w:t>
      </w:r>
    </w:p>
  </w:footnote>
  <w:footnote w:id="9">
    <w:p w:rsidR="00B37C38" w:rsidRPr="00EE6B1E" w:rsidRDefault="00B37C38" w:rsidP="001F3A12">
      <w:pPr>
        <w:pStyle w:val="FootnoteText"/>
        <w:rPr>
          <w:rFonts w:ascii="Times New Roman" w:hAnsi="Times New Roman"/>
        </w:rPr>
      </w:pPr>
      <w:r w:rsidRPr="0022684D">
        <w:rPr>
          <w:rStyle w:val="FootnoteReference"/>
          <w:rFonts w:ascii="Times New Roman" w:hAnsi="Times New Roman"/>
        </w:rPr>
        <w:footnoteRef/>
      </w:r>
      <w:r w:rsidRPr="0022684D">
        <w:rPr>
          <w:rFonts w:ascii="Times New Roman" w:hAnsi="Times New Roman"/>
        </w:rPr>
        <w:t xml:space="preserve"> http://bphc.hrsa.gov/uds/doc/2011/UDS_2011_Rollups_UT_Universal.pdf</w:t>
      </w:r>
    </w:p>
  </w:footnote>
  <w:footnote w:id="10">
    <w:p w:rsidR="00B37C38" w:rsidRPr="00EE6B1E" w:rsidRDefault="00B37C38" w:rsidP="001F3A12">
      <w:pPr>
        <w:pStyle w:val="FootnoteText"/>
        <w:rPr>
          <w:rFonts w:ascii="Times New Roman" w:hAnsi="Times New Roman"/>
        </w:rPr>
      </w:pPr>
      <w:r w:rsidRPr="0022684D">
        <w:rPr>
          <w:rStyle w:val="FootnoteReference"/>
          <w:rFonts w:ascii="Times New Roman" w:hAnsi="Times New Roman"/>
        </w:rPr>
        <w:footnoteRef/>
      </w:r>
      <w:r w:rsidRPr="0022684D">
        <w:rPr>
          <w:rFonts w:ascii="Times New Roman" w:hAnsi="Times New Roman"/>
        </w:rPr>
        <w:t xml:space="preserve"> http://health.utah.gov/medicaid/stplan/Inpatient/WebDSHFY2011.pdf</w:t>
      </w:r>
    </w:p>
  </w:footnote>
  <w:footnote w:id="11">
    <w:p w:rsidR="00B37C38" w:rsidRDefault="00B37C38" w:rsidP="00D00572">
      <w:pPr>
        <w:pStyle w:val="FootnoteText"/>
      </w:pPr>
      <w:r w:rsidRPr="0022684D">
        <w:rPr>
          <w:rStyle w:val="FootnoteReference"/>
          <w:rFonts w:ascii="Times New Roman" w:hAnsi="Times New Roman"/>
        </w:rPr>
        <w:footnoteRef/>
      </w:r>
      <w:r w:rsidRPr="0022684D">
        <w:rPr>
          <w:rFonts w:ascii="Times New Roman" w:hAnsi="Times New Roman"/>
        </w:rPr>
        <w:t xml:space="preserve"> http://health.utah.gov/medicaid/stplan/inpatient.htm</w:t>
      </w:r>
    </w:p>
  </w:footnote>
  <w:footnote w:id="12">
    <w:p w:rsidR="00B37C38" w:rsidRPr="00EE6B1E" w:rsidRDefault="00B37C38" w:rsidP="001F3A12">
      <w:pPr>
        <w:pStyle w:val="FootnoteText"/>
        <w:rPr>
          <w:rFonts w:ascii="Times New Roman" w:hAnsi="Times New Roman"/>
        </w:rPr>
      </w:pPr>
      <w:r w:rsidRPr="0022684D">
        <w:rPr>
          <w:rStyle w:val="FootnoteReference"/>
          <w:rFonts w:ascii="Times New Roman" w:hAnsi="Times New Roman"/>
        </w:rPr>
        <w:footnoteRef/>
      </w:r>
      <w:r w:rsidRPr="0022684D">
        <w:rPr>
          <w:rFonts w:ascii="Times New Roman" w:hAnsi="Times New Roman"/>
        </w:rPr>
        <w:t xml:space="preserve"> http://www.statehealthfacts.org/profileind.jsp?cat=3&amp;sub=40&amp;rgn=46</w:t>
      </w:r>
    </w:p>
  </w:footnote>
  <w:footnote w:id="13">
    <w:p w:rsidR="00B37C38" w:rsidRDefault="00B37C38">
      <w:pPr>
        <w:pStyle w:val="FootnoteText"/>
      </w:pPr>
      <w:r>
        <w:rPr>
          <w:rStyle w:val="FootnoteReference"/>
        </w:rPr>
        <w:footnoteRef/>
      </w:r>
      <w:r>
        <w:t xml:space="preserve"> </w:t>
      </w:r>
      <w:r w:rsidRPr="009E1D70">
        <w:t>http://implan.com/v4/index.php?option=com_glossary&amp;task=list&amp;glossid=13&amp;letter=V&amp;Itemid=57</w:t>
      </w:r>
    </w:p>
  </w:footnote>
  <w:footnote w:id="14">
    <w:p w:rsidR="00B37C38" w:rsidRPr="004B4709" w:rsidRDefault="00B37C38" w:rsidP="00350E01">
      <w:pPr>
        <w:pStyle w:val="FootnoteText"/>
        <w:rPr>
          <w:rFonts w:ascii="Times New Roman" w:hAnsi="Times New Roman"/>
          <w:sz w:val="18"/>
          <w:szCs w:val="18"/>
        </w:rPr>
      </w:pPr>
      <w:r w:rsidRPr="004B4709">
        <w:rPr>
          <w:rStyle w:val="FootnoteReference"/>
          <w:rFonts w:ascii="Times New Roman" w:hAnsi="Times New Roman"/>
          <w:sz w:val="18"/>
          <w:szCs w:val="18"/>
        </w:rPr>
        <w:footnoteRef/>
      </w:r>
      <w:r>
        <w:rPr>
          <w:rFonts w:ascii="Times New Roman" w:hAnsi="Times New Roman"/>
          <w:sz w:val="18"/>
          <w:szCs w:val="18"/>
        </w:rPr>
        <w:t xml:space="preserve"> Utah Medicaid, “Utah Annual Report of Medicaid &amp; CHIP: SFY 2012” December 2012</w:t>
      </w:r>
      <w:r w:rsidRPr="006F39D8">
        <w:t xml:space="preserve"> </w:t>
      </w:r>
      <w:r w:rsidRPr="006F39D8">
        <w:rPr>
          <w:rFonts w:ascii="Times New Roman" w:hAnsi="Times New Roman"/>
          <w:sz w:val="18"/>
          <w:szCs w:val="18"/>
        </w:rPr>
        <w:t>http://www.health.utah.gov/medicaid/pdfs/annual_report2012.pdf</w:t>
      </w:r>
    </w:p>
  </w:footnote>
  <w:footnote w:id="15">
    <w:p w:rsidR="00B37C38" w:rsidRPr="00F25ACD" w:rsidRDefault="00B37C38" w:rsidP="00350E01">
      <w:pPr>
        <w:pStyle w:val="FootnoteText"/>
        <w:rPr>
          <w:rFonts w:ascii="Times New Roman" w:hAnsi="Times New Roman"/>
          <w:sz w:val="18"/>
          <w:szCs w:val="18"/>
        </w:rPr>
      </w:pPr>
      <w:r w:rsidRPr="0022684D">
        <w:rPr>
          <w:rStyle w:val="FootnoteReference"/>
          <w:rFonts w:ascii="Times New Roman" w:hAnsi="Times New Roman"/>
          <w:szCs w:val="18"/>
        </w:rPr>
        <w:footnoteRef/>
      </w:r>
      <w:r w:rsidRPr="0022684D">
        <w:rPr>
          <w:rFonts w:ascii="Times New Roman" w:hAnsi="Times New Roman"/>
          <w:szCs w:val="18"/>
        </w:rPr>
        <w:t xml:space="preserve"> Utah Department of Health, “Utah Medical Programs Summary” December 2011</w:t>
      </w:r>
    </w:p>
  </w:footnote>
  <w:footnote w:id="16">
    <w:p w:rsidR="00B37C38" w:rsidRPr="00B104A9" w:rsidRDefault="00B37C38" w:rsidP="00350E01">
      <w:pPr>
        <w:pStyle w:val="FootnoteText"/>
        <w:rPr>
          <w:sz w:val="22"/>
        </w:rPr>
      </w:pPr>
      <w:r w:rsidRPr="0022684D">
        <w:rPr>
          <w:rStyle w:val="FootnoteReference"/>
          <w:rFonts w:ascii="Times New Roman" w:hAnsi="Times New Roman"/>
          <w:szCs w:val="18"/>
        </w:rPr>
        <w:footnoteRef/>
      </w:r>
      <w:r w:rsidRPr="0022684D">
        <w:rPr>
          <w:rFonts w:ascii="Times New Roman" w:hAnsi="Times New Roman"/>
          <w:szCs w:val="18"/>
        </w:rPr>
        <w:t xml:space="preserve"> Ibid, Page 4</w:t>
      </w:r>
    </w:p>
  </w:footnote>
  <w:footnote w:id="17">
    <w:p w:rsidR="00B37C38" w:rsidRPr="00B104A9" w:rsidRDefault="00B37C38" w:rsidP="00350E01">
      <w:pPr>
        <w:pStyle w:val="FootnoteText"/>
        <w:rPr>
          <w:rFonts w:ascii="Times New Roman" w:hAnsi="Times New Roman"/>
          <w:szCs w:val="18"/>
        </w:rPr>
      </w:pPr>
      <w:r w:rsidRPr="0022684D">
        <w:rPr>
          <w:rStyle w:val="FootnoteReference"/>
          <w:rFonts w:ascii="Times New Roman" w:hAnsi="Times New Roman"/>
          <w:szCs w:val="18"/>
        </w:rPr>
        <w:footnoteRef/>
      </w:r>
      <w:r w:rsidRPr="0022684D">
        <w:rPr>
          <w:rFonts w:ascii="Times New Roman" w:hAnsi="Times New Roman"/>
          <w:szCs w:val="18"/>
        </w:rPr>
        <w:t xml:space="preserve"> Department of Health and Human Services, “RE: Conversion of Net Income Standards to MAGI Equivalent Income Standards” December 2012 http://www.medicaid.gov/Federal-Policy-Guidance/downloads/SHO12003.pdf</w:t>
      </w:r>
    </w:p>
  </w:footnote>
  <w:footnote w:id="18">
    <w:p w:rsidR="00B37C38" w:rsidRPr="00404B9A" w:rsidRDefault="00B37C38" w:rsidP="00350E01">
      <w:pPr>
        <w:pStyle w:val="FootnoteText"/>
        <w:rPr>
          <w:rFonts w:ascii="Times New Roman" w:hAnsi="Times New Roman"/>
          <w:sz w:val="18"/>
          <w:szCs w:val="18"/>
        </w:rPr>
      </w:pPr>
      <w:r w:rsidRPr="0022684D">
        <w:rPr>
          <w:rStyle w:val="FootnoteReference"/>
          <w:rFonts w:ascii="Times New Roman" w:hAnsi="Times New Roman"/>
          <w:szCs w:val="18"/>
        </w:rPr>
        <w:footnoteRef/>
      </w:r>
      <w:r w:rsidRPr="0022684D">
        <w:rPr>
          <w:rFonts w:ascii="Times New Roman" w:hAnsi="Times New Roman"/>
          <w:szCs w:val="18"/>
        </w:rPr>
        <w:t xml:space="preserve"> Department of Health and Human Services, Page 5</w:t>
      </w:r>
    </w:p>
  </w:footnote>
  <w:footnote w:id="19">
    <w:p w:rsidR="00B37C38" w:rsidRDefault="00B37C38" w:rsidP="00350E0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tblBorders>
        <w:bottom w:val="single" w:sz="12" w:space="0" w:color="003366"/>
      </w:tblBorders>
      <w:tblLook w:val="01E0"/>
    </w:tblPr>
    <w:tblGrid>
      <w:gridCol w:w="4788"/>
      <w:gridCol w:w="4788"/>
    </w:tblGrid>
    <w:tr w:rsidR="00B37C38" w:rsidRPr="00BC22DB" w:rsidTr="00AF46AB">
      <w:trPr>
        <w:trHeight w:val="720"/>
      </w:trPr>
      <w:tc>
        <w:tcPr>
          <w:tcW w:w="4788" w:type="dxa"/>
          <w:tcBorders>
            <w:bottom w:val="single" w:sz="4" w:space="0" w:color="auto"/>
          </w:tcBorders>
          <w:vAlign w:val="center"/>
        </w:tcPr>
        <w:p w:rsidR="00B37C38" w:rsidRPr="00895B30" w:rsidRDefault="00B37C38" w:rsidP="00AF46AB">
          <w:pPr>
            <w:pStyle w:val="Header"/>
            <w:rPr>
              <w:rFonts w:ascii="Book Antiqua" w:hAnsi="Book Antiqua"/>
              <w:b/>
              <w:i/>
              <w:color w:val="003366"/>
            </w:rPr>
          </w:pPr>
          <w:r w:rsidRPr="00410D33">
            <w:rPr>
              <w:rFonts w:ascii="Book Antiqua" w:hAnsi="Book Antiqua"/>
              <w:b/>
              <w:i/>
              <w:noProof/>
              <w:color w:val="003366"/>
              <w:lang w:eastAsia="en-US"/>
            </w:rPr>
            <w:drawing>
              <wp:inline distT="0" distB="0" distL="0" distR="0">
                <wp:extent cx="917146" cy="695325"/>
                <wp:effectExtent l="19050" t="0" r="0" b="0"/>
                <wp:docPr id="33" name="Picture 1" descr="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
                        <pic:cNvPicPr>
                          <a:picLocks noChangeAspect="1" noChangeArrowheads="1"/>
                        </pic:cNvPicPr>
                      </pic:nvPicPr>
                      <pic:blipFill>
                        <a:blip r:embed="rId1"/>
                        <a:srcRect/>
                        <a:stretch>
                          <a:fillRect/>
                        </a:stretch>
                      </pic:blipFill>
                      <pic:spPr bwMode="auto">
                        <a:xfrm>
                          <a:off x="0" y="0"/>
                          <a:ext cx="923478" cy="700126"/>
                        </a:xfrm>
                        <a:prstGeom prst="rect">
                          <a:avLst/>
                        </a:prstGeom>
                        <a:noFill/>
                        <a:ln w="9525">
                          <a:noFill/>
                          <a:miter lim="800000"/>
                          <a:headEnd/>
                          <a:tailEnd/>
                        </a:ln>
                      </pic:spPr>
                    </pic:pic>
                  </a:graphicData>
                </a:graphic>
              </wp:inline>
            </w:drawing>
          </w:r>
          <w:r>
            <w:rPr>
              <w:rFonts w:ascii="Book Antiqua" w:hAnsi="Book Antiqua"/>
              <w:b/>
              <w:i/>
              <w:color w:val="003366"/>
            </w:rPr>
            <w:br/>
          </w:r>
        </w:p>
      </w:tc>
      <w:tc>
        <w:tcPr>
          <w:tcW w:w="4788" w:type="dxa"/>
          <w:tcBorders>
            <w:bottom w:val="single" w:sz="4" w:space="0" w:color="auto"/>
          </w:tcBorders>
          <w:vAlign w:val="center"/>
        </w:tcPr>
        <w:p w:rsidR="00B37C38" w:rsidRDefault="00B37C38" w:rsidP="004E5C46">
          <w:pPr>
            <w:pStyle w:val="Header"/>
            <w:jc w:val="right"/>
            <w:rPr>
              <w:rFonts w:ascii="Times New Roman" w:hAnsi="Times New Roman"/>
              <w:b/>
              <w:i/>
              <w:color w:val="808080" w:themeColor="background1" w:themeShade="80"/>
            </w:rPr>
          </w:pPr>
          <w:r>
            <w:rPr>
              <w:rFonts w:ascii="Times New Roman" w:hAnsi="Times New Roman"/>
              <w:b/>
              <w:i/>
              <w:color w:val="808080" w:themeColor="background1" w:themeShade="80"/>
            </w:rPr>
            <w:t>State of Utah</w:t>
          </w:r>
        </w:p>
        <w:p w:rsidR="00B37C38" w:rsidRPr="00723168" w:rsidRDefault="00B37C38" w:rsidP="004E5C46">
          <w:pPr>
            <w:pStyle w:val="Header"/>
            <w:jc w:val="right"/>
            <w:rPr>
              <w:rFonts w:ascii="Times New Roman" w:hAnsi="Times New Roman"/>
              <w:b/>
              <w:i/>
              <w:color w:val="808080" w:themeColor="background1" w:themeShade="80"/>
            </w:rPr>
          </w:pPr>
          <w:r>
            <w:rPr>
              <w:rFonts w:ascii="Times New Roman" w:hAnsi="Times New Roman"/>
              <w:b/>
              <w:i/>
              <w:color w:val="808080" w:themeColor="background1" w:themeShade="80"/>
            </w:rPr>
            <w:t>Medicaid Expansion Assessment</w:t>
          </w:r>
        </w:p>
        <w:p w:rsidR="00B37C38" w:rsidRPr="004E5C46" w:rsidRDefault="00B37C38" w:rsidP="00C93256">
          <w:pPr>
            <w:pStyle w:val="Header"/>
            <w:jc w:val="right"/>
            <w:rPr>
              <w:rFonts w:ascii="Times New Roman" w:hAnsi="Times New Roman"/>
              <w:i/>
              <w:color w:val="808080" w:themeColor="background1" w:themeShade="80"/>
              <w:sz w:val="20"/>
              <w:szCs w:val="20"/>
            </w:rPr>
          </w:pPr>
          <w:r>
            <w:rPr>
              <w:rFonts w:ascii="Times New Roman" w:hAnsi="Times New Roman"/>
              <w:i/>
              <w:color w:val="808080" w:themeColor="background1" w:themeShade="80"/>
            </w:rPr>
            <w:t xml:space="preserve">Utah Impact: 2014-2023 </w:t>
          </w:r>
        </w:p>
      </w:tc>
    </w:tr>
  </w:tbl>
  <w:p w:rsidR="00B37C38" w:rsidRDefault="00B37C3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tblBorders>
        <w:bottom w:val="single" w:sz="12" w:space="0" w:color="003366"/>
      </w:tblBorders>
      <w:tblLook w:val="01E0"/>
    </w:tblPr>
    <w:tblGrid>
      <w:gridCol w:w="4788"/>
      <w:gridCol w:w="4788"/>
    </w:tblGrid>
    <w:tr w:rsidR="00B37C38" w:rsidRPr="00BC22DB" w:rsidTr="00AF46AB">
      <w:trPr>
        <w:trHeight w:val="720"/>
      </w:trPr>
      <w:tc>
        <w:tcPr>
          <w:tcW w:w="4788" w:type="dxa"/>
          <w:tcBorders>
            <w:bottom w:val="single" w:sz="4" w:space="0" w:color="auto"/>
          </w:tcBorders>
          <w:vAlign w:val="center"/>
        </w:tcPr>
        <w:p w:rsidR="00B37C38" w:rsidRPr="00895B30" w:rsidRDefault="00B37C38" w:rsidP="00AF46AB">
          <w:pPr>
            <w:pStyle w:val="Header"/>
            <w:rPr>
              <w:rFonts w:ascii="Book Antiqua" w:hAnsi="Book Antiqua"/>
              <w:b/>
              <w:i/>
              <w:color w:val="003366"/>
            </w:rPr>
          </w:pPr>
          <w:r w:rsidRPr="00410D33">
            <w:rPr>
              <w:rFonts w:ascii="Book Antiqua" w:hAnsi="Book Antiqua"/>
              <w:b/>
              <w:i/>
              <w:noProof/>
              <w:color w:val="003366"/>
              <w:lang w:eastAsia="en-US"/>
            </w:rPr>
            <w:drawing>
              <wp:inline distT="0" distB="0" distL="0" distR="0">
                <wp:extent cx="917146" cy="695325"/>
                <wp:effectExtent l="19050" t="0" r="0" b="0"/>
                <wp:docPr id="1" name="Picture 1" descr="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
                        <pic:cNvPicPr>
                          <a:picLocks noChangeAspect="1" noChangeArrowheads="1"/>
                        </pic:cNvPicPr>
                      </pic:nvPicPr>
                      <pic:blipFill>
                        <a:blip r:embed="rId1"/>
                        <a:srcRect/>
                        <a:stretch>
                          <a:fillRect/>
                        </a:stretch>
                      </pic:blipFill>
                      <pic:spPr bwMode="auto">
                        <a:xfrm>
                          <a:off x="0" y="0"/>
                          <a:ext cx="923478" cy="700126"/>
                        </a:xfrm>
                        <a:prstGeom prst="rect">
                          <a:avLst/>
                        </a:prstGeom>
                        <a:noFill/>
                        <a:ln w="9525">
                          <a:noFill/>
                          <a:miter lim="800000"/>
                          <a:headEnd/>
                          <a:tailEnd/>
                        </a:ln>
                      </pic:spPr>
                    </pic:pic>
                  </a:graphicData>
                </a:graphic>
              </wp:inline>
            </w:drawing>
          </w:r>
          <w:r>
            <w:rPr>
              <w:rFonts w:ascii="Book Antiqua" w:hAnsi="Book Antiqua"/>
              <w:b/>
              <w:i/>
              <w:color w:val="003366"/>
            </w:rPr>
            <w:br/>
          </w:r>
        </w:p>
      </w:tc>
      <w:tc>
        <w:tcPr>
          <w:tcW w:w="4788" w:type="dxa"/>
          <w:tcBorders>
            <w:bottom w:val="single" w:sz="4" w:space="0" w:color="auto"/>
          </w:tcBorders>
          <w:vAlign w:val="center"/>
        </w:tcPr>
        <w:p w:rsidR="00B37C38" w:rsidRDefault="00B37C38" w:rsidP="004E5C46">
          <w:pPr>
            <w:pStyle w:val="Header"/>
            <w:jc w:val="right"/>
            <w:rPr>
              <w:rFonts w:ascii="Times New Roman" w:hAnsi="Times New Roman"/>
              <w:b/>
              <w:i/>
              <w:color w:val="808080" w:themeColor="background1" w:themeShade="80"/>
            </w:rPr>
          </w:pPr>
          <w:r>
            <w:rPr>
              <w:rFonts w:ascii="Times New Roman" w:hAnsi="Times New Roman"/>
              <w:b/>
              <w:i/>
              <w:color w:val="808080" w:themeColor="background1" w:themeShade="80"/>
            </w:rPr>
            <w:t>State of Utah</w:t>
          </w:r>
        </w:p>
        <w:p w:rsidR="00B37C38" w:rsidRPr="00723168" w:rsidRDefault="00B37C38" w:rsidP="004E5C46">
          <w:pPr>
            <w:pStyle w:val="Header"/>
            <w:jc w:val="right"/>
            <w:rPr>
              <w:rFonts w:ascii="Times New Roman" w:hAnsi="Times New Roman"/>
              <w:b/>
              <w:i/>
              <w:color w:val="808080" w:themeColor="background1" w:themeShade="80"/>
            </w:rPr>
          </w:pPr>
          <w:r>
            <w:rPr>
              <w:rFonts w:ascii="Times New Roman" w:hAnsi="Times New Roman"/>
              <w:b/>
              <w:i/>
              <w:color w:val="808080" w:themeColor="background1" w:themeShade="80"/>
            </w:rPr>
            <w:t>Medicaid Expansion Assessment</w:t>
          </w:r>
        </w:p>
        <w:p w:rsidR="00B37C38" w:rsidRPr="004E5C46" w:rsidRDefault="00B37C38" w:rsidP="00C93256">
          <w:pPr>
            <w:pStyle w:val="Header"/>
            <w:jc w:val="right"/>
            <w:rPr>
              <w:rFonts w:ascii="Times New Roman" w:hAnsi="Times New Roman"/>
              <w:i/>
              <w:color w:val="808080" w:themeColor="background1" w:themeShade="80"/>
              <w:sz w:val="20"/>
              <w:szCs w:val="20"/>
            </w:rPr>
          </w:pPr>
          <w:r>
            <w:rPr>
              <w:rFonts w:ascii="Times New Roman" w:hAnsi="Times New Roman"/>
              <w:i/>
              <w:color w:val="808080" w:themeColor="background1" w:themeShade="80"/>
            </w:rPr>
            <w:t xml:space="preserve">Utah Impact: 2014-2023 </w:t>
          </w:r>
        </w:p>
      </w:tc>
    </w:tr>
  </w:tbl>
  <w:p w:rsidR="00B37C38" w:rsidRDefault="00B37C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A0E1414"/>
    <w:lvl w:ilvl="0" w:tplc="8A08E826">
      <w:start w:val="1"/>
      <w:numFmt w:val="decimal"/>
      <w:lvlText w:val="%1)"/>
      <w:lvlJc w:val="left"/>
      <w:pPr>
        <w:ind w:left="360" w:hanging="360"/>
      </w:pPr>
      <w:rPr>
        <w:rFonts w:ascii="Times New Roman" w:eastAsiaTheme="minorEastAsia"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551DF"/>
    <w:multiLevelType w:val="hybridMultilevel"/>
    <w:tmpl w:val="5A76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8A2834"/>
    <w:multiLevelType w:val="hybridMultilevel"/>
    <w:tmpl w:val="C65EC0E8"/>
    <w:lvl w:ilvl="0" w:tplc="0409000F">
      <w:start w:val="1"/>
      <w:numFmt w:val="decimal"/>
      <w:lvlText w:val="%1."/>
      <w:lvlJc w:val="left"/>
      <w:pPr>
        <w:ind w:left="360" w:hanging="360"/>
      </w:pPr>
    </w:lvl>
    <w:lvl w:ilvl="1" w:tplc="20C2397A">
      <w:numFmt w:val="bullet"/>
      <w:lvlText w:val="•"/>
      <w:lvlJc w:val="left"/>
      <w:pPr>
        <w:ind w:left="1440" w:hanging="72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8D3A03"/>
    <w:multiLevelType w:val="hybridMultilevel"/>
    <w:tmpl w:val="749E6A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D264A"/>
    <w:multiLevelType w:val="hybridMultilevel"/>
    <w:tmpl w:val="4FCCB242"/>
    <w:lvl w:ilvl="0" w:tplc="9D369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9A0248"/>
    <w:multiLevelType w:val="hybridMultilevel"/>
    <w:tmpl w:val="5F06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BD6F90"/>
    <w:multiLevelType w:val="hybridMultilevel"/>
    <w:tmpl w:val="54A8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DD609D"/>
    <w:multiLevelType w:val="hybridMultilevel"/>
    <w:tmpl w:val="3EA0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CA47B5"/>
    <w:multiLevelType w:val="hybridMultilevel"/>
    <w:tmpl w:val="6156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90386C"/>
    <w:multiLevelType w:val="hybridMultilevel"/>
    <w:tmpl w:val="A444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316FAB"/>
    <w:multiLevelType w:val="hybridMultilevel"/>
    <w:tmpl w:val="79007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986F93"/>
    <w:multiLevelType w:val="hybridMultilevel"/>
    <w:tmpl w:val="F010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1449A"/>
    <w:multiLevelType w:val="hybridMultilevel"/>
    <w:tmpl w:val="FF702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D739B"/>
    <w:multiLevelType w:val="hybridMultilevel"/>
    <w:tmpl w:val="9900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D50075"/>
    <w:multiLevelType w:val="hybridMultilevel"/>
    <w:tmpl w:val="53B6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357881"/>
    <w:multiLevelType w:val="hybridMultilevel"/>
    <w:tmpl w:val="7F042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AE6DB5"/>
    <w:multiLevelType w:val="hybridMultilevel"/>
    <w:tmpl w:val="16BA3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5A16AB"/>
    <w:multiLevelType w:val="hybridMultilevel"/>
    <w:tmpl w:val="B368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8B6888"/>
    <w:multiLevelType w:val="hybridMultilevel"/>
    <w:tmpl w:val="B42A3EE6"/>
    <w:lvl w:ilvl="0" w:tplc="A5AAE71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225B47"/>
    <w:multiLevelType w:val="hybridMultilevel"/>
    <w:tmpl w:val="45CC1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nsid w:val="39BC292E"/>
    <w:multiLevelType w:val="hybridMultilevel"/>
    <w:tmpl w:val="1E0E7F1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1">
    <w:nsid w:val="3DDE1BCF"/>
    <w:multiLevelType w:val="hybridMultilevel"/>
    <w:tmpl w:val="FC04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AA156D"/>
    <w:multiLevelType w:val="hybridMultilevel"/>
    <w:tmpl w:val="5228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F71B7B"/>
    <w:multiLevelType w:val="hybridMultilevel"/>
    <w:tmpl w:val="C5E6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BE61FA"/>
    <w:multiLevelType w:val="hybridMultilevel"/>
    <w:tmpl w:val="EA62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FD2050"/>
    <w:multiLevelType w:val="hybridMultilevel"/>
    <w:tmpl w:val="C028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B51398"/>
    <w:multiLevelType w:val="hybridMultilevel"/>
    <w:tmpl w:val="A97802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C0B2BA2"/>
    <w:multiLevelType w:val="hybridMultilevel"/>
    <w:tmpl w:val="599412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04A0DC0"/>
    <w:multiLevelType w:val="hybridMultilevel"/>
    <w:tmpl w:val="749E6A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554DD3"/>
    <w:multiLevelType w:val="hybridMultilevel"/>
    <w:tmpl w:val="A4BC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570A11"/>
    <w:multiLevelType w:val="hybridMultilevel"/>
    <w:tmpl w:val="9C96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1622AE"/>
    <w:multiLevelType w:val="hybridMultilevel"/>
    <w:tmpl w:val="7A9648CE"/>
    <w:lvl w:ilvl="0" w:tplc="4FAE2C36">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6AAE301C">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4669D1"/>
    <w:multiLevelType w:val="hybridMultilevel"/>
    <w:tmpl w:val="70FC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
  </w:num>
  <w:num w:numId="3">
    <w:abstractNumId w:val="22"/>
  </w:num>
  <w:num w:numId="4">
    <w:abstractNumId w:val="7"/>
  </w:num>
  <w:num w:numId="5">
    <w:abstractNumId w:val="8"/>
  </w:num>
  <w:num w:numId="6">
    <w:abstractNumId w:val="0"/>
  </w:num>
  <w:num w:numId="7">
    <w:abstractNumId w:val="26"/>
  </w:num>
  <w:num w:numId="8">
    <w:abstractNumId w:val="2"/>
  </w:num>
  <w:num w:numId="9">
    <w:abstractNumId w:val="27"/>
  </w:num>
  <w:num w:numId="10">
    <w:abstractNumId w:val="20"/>
  </w:num>
  <w:num w:numId="11">
    <w:abstractNumId w:val="32"/>
  </w:num>
  <w:num w:numId="12">
    <w:abstractNumId w:val="29"/>
  </w:num>
  <w:num w:numId="13">
    <w:abstractNumId w:val="21"/>
  </w:num>
  <w:num w:numId="14">
    <w:abstractNumId w:val="24"/>
  </w:num>
  <w:num w:numId="15">
    <w:abstractNumId w:val="16"/>
  </w:num>
  <w:num w:numId="16">
    <w:abstractNumId w:val="19"/>
  </w:num>
  <w:num w:numId="17">
    <w:abstractNumId w:val="1"/>
  </w:num>
  <w:num w:numId="18">
    <w:abstractNumId w:val="5"/>
  </w:num>
  <w:num w:numId="19">
    <w:abstractNumId w:val="17"/>
  </w:num>
  <w:num w:numId="20">
    <w:abstractNumId w:val="30"/>
  </w:num>
  <w:num w:numId="21">
    <w:abstractNumId w:val="14"/>
  </w:num>
  <w:num w:numId="22">
    <w:abstractNumId w:val="15"/>
  </w:num>
  <w:num w:numId="23">
    <w:abstractNumId w:val="25"/>
  </w:num>
  <w:num w:numId="24">
    <w:abstractNumId w:val="28"/>
  </w:num>
  <w:num w:numId="25">
    <w:abstractNumId w:val="13"/>
  </w:num>
  <w:num w:numId="26">
    <w:abstractNumId w:val="11"/>
  </w:num>
  <w:num w:numId="27">
    <w:abstractNumId w:val="6"/>
  </w:num>
  <w:num w:numId="28">
    <w:abstractNumId w:val="10"/>
  </w:num>
  <w:num w:numId="29">
    <w:abstractNumId w:val="23"/>
  </w:num>
  <w:num w:numId="30">
    <w:abstractNumId w:val="12"/>
  </w:num>
  <w:num w:numId="31">
    <w:abstractNumId w:val="3"/>
  </w:num>
  <w:num w:numId="32">
    <w:abstractNumId w:val="9"/>
  </w:num>
  <w:num w:numId="33">
    <w:abstractNumId w:val="1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16418">
      <o:colormenu v:ext="edit" fillcolor="none" strokecolor="none [1951]"/>
    </o:shapedefaults>
  </w:hdrShapeDefaults>
  <w:footnotePr>
    <w:footnote w:id="-1"/>
    <w:footnote w:id="0"/>
  </w:footnotePr>
  <w:endnotePr>
    <w:endnote w:id="-1"/>
    <w:endnote w:id="0"/>
  </w:endnotePr>
  <w:compat/>
  <w:rsids>
    <w:rsidRoot w:val="00263613"/>
    <w:rsid w:val="000016BD"/>
    <w:rsid w:val="0000340C"/>
    <w:rsid w:val="00004A2D"/>
    <w:rsid w:val="00005D42"/>
    <w:rsid w:val="00007288"/>
    <w:rsid w:val="00011AE7"/>
    <w:rsid w:val="00011D73"/>
    <w:rsid w:val="0001315A"/>
    <w:rsid w:val="000131C4"/>
    <w:rsid w:val="0001368D"/>
    <w:rsid w:val="0001488A"/>
    <w:rsid w:val="000159F4"/>
    <w:rsid w:val="0001650F"/>
    <w:rsid w:val="000170F4"/>
    <w:rsid w:val="00021149"/>
    <w:rsid w:val="00021766"/>
    <w:rsid w:val="00023F13"/>
    <w:rsid w:val="0002440D"/>
    <w:rsid w:val="0002495E"/>
    <w:rsid w:val="000252BB"/>
    <w:rsid w:val="00026EF4"/>
    <w:rsid w:val="000309D0"/>
    <w:rsid w:val="00030FD5"/>
    <w:rsid w:val="00033682"/>
    <w:rsid w:val="00034E5E"/>
    <w:rsid w:val="00035DEB"/>
    <w:rsid w:val="00036ACB"/>
    <w:rsid w:val="00036B12"/>
    <w:rsid w:val="00043E68"/>
    <w:rsid w:val="00044F4E"/>
    <w:rsid w:val="00046649"/>
    <w:rsid w:val="00046ECE"/>
    <w:rsid w:val="00047BE4"/>
    <w:rsid w:val="00047D9B"/>
    <w:rsid w:val="00050123"/>
    <w:rsid w:val="000531B5"/>
    <w:rsid w:val="00054975"/>
    <w:rsid w:val="00054AF6"/>
    <w:rsid w:val="00054FA7"/>
    <w:rsid w:val="00055609"/>
    <w:rsid w:val="000562D7"/>
    <w:rsid w:val="000574C3"/>
    <w:rsid w:val="000604B9"/>
    <w:rsid w:val="00061FC7"/>
    <w:rsid w:val="00064645"/>
    <w:rsid w:val="00066010"/>
    <w:rsid w:val="000708A5"/>
    <w:rsid w:val="00070B74"/>
    <w:rsid w:val="0007304C"/>
    <w:rsid w:val="000738CE"/>
    <w:rsid w:val="00073DB9"/>
    <w:rsid w:val="0007499C"/>
    <w:rsid w:val="00074F81"/>
    <w:rsid w:val="00075BD7"/>
    <w:rsid w:val="0007750D"/>
    <w:rsid w:val="00077EF2"/>
    <w:rsid w:val="00080CF4"/>
    <w:rsid w:val="00081BFE"/>
    <w:rsid w:val="00083298"/>
    <w:rsid w:val="00083BEF"/>
    <w:rsid w:val="00084E1A"/>
    <w:rsid w:val="00086D7F"/>
    <w:rsid w:val="00093002"/>
    <w:rsid w:val="000931DE"/>
    <w:rsid w:val="00093725"/>
    <w:rsid w:val="000941AB"/>
    <w:rsid w:val="000957DA"/>
    <w:rsid w:val="0009664F"/>
    <w:rsid w:val="000966AB"/>
    <w:rsid w:val="00097542"/>
    <w:rsid w:val="000A2C6F"/>
    <w:rsid w:val="000A2F81"/>
    <w:rsid w:val="000A3E87"/>
    <w:rsid w:val="000A4627"/>
    <w:rsid w:val="000A4E04"/>
    <w:rsid w:val="000A5089"/>
    <w:rsid w:val="000A5531"/>
    <w:rsid w:val="000B0225"/>
    <w:rsid w:val="000B051E"/>
    <w:rsid w:val="000B149C"/>
    <w:rsid w:val="000B25C0"/>
    <w:rsid w:val="000B3A5C"/>
    <w:rsid w:val="000B461F"/>
    <w:rsid w:val="000B507A"/>
    <w:rsid w:val="000C1B12"/>
    <w:rsid w:val="000C2D7E"/>
    <w:rsid w:val="000C4B05"/>
    <w:rsid w:val="000C50EE"/>
    <w:rsid w:val="000C68C8"/>
    <w:rsid w:val="000D0AEC"/>
    <w:rsid w:val="000D425C"/>
    <w:rsid w:val="000D4B17"/>
    <w:rsid w:val="000D6E99"/>
    <w:rsid w:val="000E06CF"/>
    <w:rsid w:val="000E26C6"/>
    <w:rsid w:val="000E31F0"/>
    <w:rsid w:val="000E42A7"/>
    <w:rsid w:val="000E45E1"/>
    <w:rsid w:val="000E5B7A"/>
    <w:rsid w:val="000E64AE"/>
    <w:rsid w:val="000F31FA"/>
    <w:rsid w:val="000F31FB"/>
    <w:rsid w:val="000F4A89"/>
    <w:rsid w:val="000F5B0F"/>
    <w:rsid w:val="000F7D86"/>
    <w:rsid w:val="00100BF8"/>
    <w:rsid w:val="00101C35"/>
    <w:rsid w:val="00103D7E"/>
    <w:rsid w:val="00105521"/>
    <w:rsid w:val="00105702"/>
    <w:rsid w:val="00105CA6"/>
    <w:rsid w:val="00105FF9"/>
    <w:rsid w:val="00107ED6"/>
    <w:rsid w:val="001109B8"/>
    <w:rsid w:val="001121C9"/>
    <w:rsid w:val="00112727"/>
    <w:rsid w:val="001135BB"/>
    <w:rsid w:val="00113EB7"/>
    <w:rsid w:val="00114A01"/>
    <w:rsid w:val="00115101"/>
    <w:rsid w:val="001204AB"/>
    <w:rsid w:val="00120503"/>
    <w:rsid w:val="00120F52"/>
    <w:rsid w:val="001252DD"/>
    <w:rsid w:val="00125AAB"/>
    <w:rsid w:val="001325EE"/>
    <w:rsid w:val="0013343B"/>
    <w:rsid w:val="00134B3D"/>
    <w:rsid w:val="001355EE"/>
    <w:rsid w:val="001369CC"/>
    <w:rsid w:val="00137C3D"/>
    <w:rsid w:val="0014213A"/>
    <w:rsid w:val="001424BC"/>
    <w:rsid w:val="0014275B"/>
    <w:rsid w:val="001432E4"/>
    <w:rsid w:val="001442B4"/>
    <w:rsid w:val="00144576"/>
    <w:rsid w:val="00146FC4"/>
    <w:rsid w:val="001473B7"/>
    <w:rsid w:val="00152FC5"/>
    <w:rsid w:val="00153001"/>
    <w:rsid w:val="00153F98"/>
    <w:rsid w:val="00156313"/>
    <w:rsid w:val="001575A0"/>
    <w:rsid w:val="001613F0"/>
    <w:rsid w:val="0016310C"/>
    <w:rsid w:val="00165963"/>
    <w:rsid w:val="00166A2D"/>
    <w:rsid w:val="001675A5"/>
    <w:rsid w:val="00167D8E"/>
    <w:rsid w:val="001710E5"/>
    <w:rsid w:val="00171C8B"/>
    <w:rsid w:val="00173483"/>
    <w:rsid w:val="001737C7"/>
    <w:rsid w:val="00176C6E"/>
    <w:rsid w:val="00177ED3"/>
    <w:rsid w:val="00180D05"/>
    <w:rsid w:val="001818F5"/>
    <w:rsid w:val="00181A60"/>
    <w:rsid w:val="0018219C"/>
    <w:rsid w:val="001831DA"/>
    <w:rsid w:val="00183589"/>
    <w:rsid w:val="00183BDF"/>
    <w:rsid w:val="0018497D"/>
    <w:rsid w:val="00185B4C"/>
    <w:rsid w:val="0018701E"/>
    <w:rsid w:val="001878E1"/>
    <w:rsid w:val="0019180F"/>
    <w:rsid w:val="00192D22"/>
    <w:rsid w:val="00194905"/>
    <w:rsid w:val="001949C0"/>
    <w:rsid w:val="00194F28"/>
    <w:rsid w:val="00195235"/>
    <w:rsid w:val="0019670D"/>
    <w:rsid w:val="00196BDC"/>
    <w:rsid w:val="001A169A"/>
    <w:rsid w:val="001A28A5"/>
    <w:rsid w:val="001A29C6"/>
    <w:rsid w:val="001A3424"/>
    <w:rsid w:val="001A4DC9"/>
    <w:rsid w:val="001A4E5E"/>
    <w:rsid w:val="001B0449"/>
    <w:rsid w:val="001B06FD"/>
    <w:rsid w:val="001B16BE"/>
    <w:rsid w:val="001B37AE"/>
    <w:rsid w:val="001B39D8"/>
    <w:rsid w:val="001B3A16"/>
    <w:rsid w:val="001B3C7B"/>
    <w:rsid w:val="001B46CA"/>
    <w:rsid w:val="001B6BB6"/>
    <w:rsid w:val="001B6ED5"/>
    <w:rsid w:val="001C04A8"/>
    <w:rsid w:val="001C1859"/>
    <w:rsid w:val="001C1DA0"/>
    <w:rsid w:val="001C25E2"/>
    <w:rsid w:val="001C274B"/>
    <w:rsid w:val="001C3704"/>
    <w:rsid w:val="001C57C2"/>
    <w:rsid w:val="001C5BC3"/>
    <w:rsid w:val="001C5DFD"/>
    <w:rsid w:val="001C646E"/>
    <w:rsid w:val="001C6557"/>
    <w:rsid w:val="001D38C2"/>
    <w:rsid w:val="001D3CBB"/>
    <w:rsid w:val="001D605A"/>
    <w:rsid w:val="001D630D"/>
    <w:rsid w:val="001D6D56"/>
    <w:rsid w:val="001D7474"/>
    <w:rsid w:val="001E2A62"/>
    <w:rsid w:val="001E2CC3"/>
    <w:rsid w:val="001E4A03"/>
    <w:rsid w:val="001E5CA7"/>
    <w:rsid w:val="001E5D79"/>
    <w:rsid w:val="001E672E"/>
    <w:rsid w:val="001F0486"/>
    <w:rsid w:val="001F0D0F"/>
    <w:rsid w:val="001F31A5"/>
    <w:rsid w:val="001F350B"/>
    <w:rsid w:val="001F3604"/>
    <w:rsid w:val="001F3A12"/>
    <w:rsid w:val="001F5481"/>
    <w:rsid w:val="001F5BCE"/>
    <w:rsid w:val="001F6F3E"/>
    <w:rsid w:val="002030F2"/>
    <w:rsid w:val="00203CA1"/>
    <w:rsid w:val="00205D30"/>
    <w:rsid w:val="00206147"/>
    <w:rsid w:val="00206694"/>
    <w:rsid w:val="002111A0"/>
    <w:rsid w:val="00212B7D"/>
    <w:rsid w:val="00214D37"/>
    <w:rsid w:val="00215C25"/>
    <w:rsid w:val="0021658D"/>
    <w:rsid w:val="00216D24"/>
    <w:rsid w:val="0022141E"/>
    <w:rsid w:val="00221926"/>
    <w:rsid w:val="0022193D"/>
    <w:rsid w:val="002234EB"/>
    <w:rsid w:val="002238A2"/>
    <w:rsid w:val="00223ED1"/>
    <w:rsid w:val="0022607F"/>
    <w:rsid w:val="0022684D"/>
    <w:rsid w:val="002319E8"/>
    <w:rsid w:val="0023369F"/>
    <w:rsid w:val="002343C7"/>
    <w:rsid w:val="00234AF6"/>
    <w:rsid w:val="00234D61"/>
    <w:rsid w:val="00241F59"/>
    <w:rsid w:val="00244AB5"/>
    <w:rsid w:val="002452B2"/>
    <w:rsid w:val="002456DD"/>
    <w:rsid w:val="00245DD0"/>
    <w:rsid w:val="0024602E"/>
    <w:rsid w:val="002463A7"/>
    <w:rsid w:val="00251035"/>
    <w:rsid w:val="00251DB5"/>
    <w:rsid w:val="002557A3"/>
    <w:rsid w:val="00256EB0"/>
    <w:rsid w:val="00257287"/>
    <w:rsid w:val="00260C05"/>
    <w:rsid w:val="00262456"/>
    <w:rsid w:val="00263613"/>
    <w:rsid w:val="00263830"/>
    <w:rsid w:val="0026553F"/>
    <w:rsid w:val="002671C5"/>
    <w:rsid w:val="00271869"/>
    <w:rsid w:val="00273389"/>
    <w:rsid w:val="00275706"/>
    <w:rsid w:val="00277EE2"/>
    <w:rsid w:val="00280183"/>
    <w:rsid w:val="002802C5"/>
    <w:rsid w:val="00280873"/>
    <w:rsid w:val="002853F5"/>
    <w:rsid w:val="00290145"/>
    <w:rsid w:val="002904AC"/>
    <w:rsid w:val="002915F5"/>
    <w:rsid w:val="0029301B"/>
    <w:rsid w:val="00294C8C"/>
    <w:rsid w:val="002A1026"/>
    <w:rsid w:val="002A125B"/>
    <w:rsid w:val="002A1E81"/>
    <w:rsid w:val="002A2C10"/>
    <w:rsid w:val="002A553B"/>
    <w:rsid w:val="002A56CD"/>
    <w:rsid w:val="002A5AC5"/>
    <w:rsid w:val="002A5F01"/>
    <w:rsid w:val="002A6F5E"/>
    <w:rsid w:val="002A7A70"/>
    <w:rsid w:val="002B002F"/>
    <w:rsid w:val="002B08B1"/>
    <w:rsid w:val="002B19A5"/>
    <w:rsid w:val="002B1AFF"/>
    <w:rsid w:val="002B30B6"/>
    <w:rsid w:val="002B30D0"/>
    <w:rsid w:val="002B3536"/>
    <w:rsid w:val="002B4955"/>
    <w:rsid w:val="002B6036"/>
    <w:rsid w:val="002B6DB5"/>
    <w:rsid w:val="002B7094"/>
    <w:rsid w:val="002C05C8"/>
    <w:rsid w:val="002C1568"/>
    <w:rsid w:val="002C291E"/>
    <w:rsid w:val="002C5945"/>
    <w:rsid w:val="002C5F99"/>
    <w:rsid w:val="002D0199"/>
    <w:rsid w:val="002D2AA9"/>
    <w:rsid w:val="002D3FEE"/>
    <w:rsid w:val="002D57A2"/>
    <w:rsid w:val="002D6CFC"/>
    <w:rsid w:val="002D6DED"/>
    <w:rsid w:val="002D7607"/>
    <w:rsid w:val="002E310C"/>
    <w:rsid w:val="002E3AF6"/>
    <w:rsid w:val="002E4776"/>
    <w:rsid w:val="002E721F"/>
    <w:rsid w:val="002E7748"/>
    <w:rsid w:val="002F3403"/>
    <w:rsid w:val="002F5368"/>
    <w:rsid w:val="002F789F"/>
    <w:rsid w:val="00300D7F"/>
    <w:rsid w:val="003017C7"/>
    <w:rsid w:val="0030336E"/>
    <w:rsid w:val="00304499"/>
    <w:rsid w:val="00304D24"/>
    <w:rsid w:val="00306D8A"/>
    <w:rsid w:val="00307EC9"/>
    <w:rsid w:val="00311AC7"/>
    <w:rsid w:val="00312566"/>
    <w:rsid w:val="00313291"/>
    <w:rsid w:val="00314244"/>
    <w:rsid w:val="00316625"/>
    <w:rsid w:val="003166E3"/>
    <w:rsid w:val="00317BDB"/>
    <w:rsid w:val="00320E0E"/>
    <w:rsid w:val="00323757"/>
    <w:rsid w:val="00323C69"/>
    <w:rsid w:val="003250CF"/>
    <w:rsid w:val="00325B08"/>
    <w:rsid w:val="003266F5"/>
    <w:rsid w:val="00331309"/>
    <w:rsid w:val="00331A7A"/>
    <w:rsid w:val="003325AC"/>
    <w:rsid w:val="00333031"/>
    <w:rsid w:val="003330AC"/>
    <w:rsid w:val="0033377B"/>
    <w:rsid w:val="00334A52"/>
    <w:rsid w:val="00335309"/>
    <w:rsid w:val="00335887"/>
    <w:rsid w:val="003402EB"/>
    <w:rsid w:val="0034163B"/>
    <w:rsid w:val="0034799F"/>
    <w:rsid w:val="00350AC6"/>
    <w:rsid w:val="00350E01"/>
    <w:rsid w:val="00352524"/>
    <w:rsid w:val="003536D3"/>
    <w:rsid w:val="003541B2"/>
    <w:rsid w:val="00356916"/>
    <w:rsid w:val="00356D8E"/>
    <w:rsid w:val="00357491"/>
    <w:rsid w:val="00357BF1"/>
    <w:rsid w:val="00363D27"/>
    <w:rsid w:val="0036530D"/>
    <w:rsid w:val="00365AB4"/>
    <w:rsid w:val="00366495"/>
    <w:rsid w:val="003702FF"/>
    <w:rsid w:val="003705BA"/>
    <w:rsid w:val="00371E99"/>
    <w:rsid w:val="003755EF"/>
    <w:rsid w:val="00376CDA"/>
    <w:rsid w:val="00377A67"/>
    <w:rsid w:val="00380176"/>
    <w:rsid w:val="00382C70"/>
    <w:rsid w:val="00382FD4"/>
    <w:rsid w:val="0038419D"/>
    <w:rsid w:val="003851C8"/>
    <w:rsid w:val="003855BC"/>
    <w:rsid w:val="00386411"/>
    <w:rsid w:val="00386552"/>
    <w:rsid w:val="00386949"/>
    <w:rsid w:val="00390132"/>
    <w:rsid w:val="00392DC0"/>
    <w:rsid w:val="0039440A"/>
    <w:rsid w:val="00395BF8"/>
    <w:rsid w:val="00396121"/>
    <w:rsid w:val="003A01F6"/>
    <w:rsid w:val="003A1919"/>
    <w:rsid w:val="003A1EF7"/>
    <w:rsid w:val="003A1F6C"/>
    <w:rsid w:val="003A2E73"/>
    <w:rsid w:val="003A3481"/>
    <w:rsid w:val="003A5A05"/>
    <w:rsid w:val="003A5DF3"/>
    <w:rsid w:val="003A6F73"/>
    <w:rsid w:val="003B195C"/>
    <w:rsid w:val="003B4744"/>
    <w:rsid w:val="003B4B32"/>
    <w:rsid w:val="003B6AC9"/>
    <w:rsid w:val="003C153C"/>
    <w:rsid w:val="003C1EDC"/>
    <w:rsid w:val="003C2D86"/>
    <w:rsid w:val="003C4165"/>
    <w:rsid w:val="003C4FFC"/>
    <w:rsid w:val="003C69B6"/>
    <w:rsid w:val="003D05CF"/>
    <w:rsid w:val="003D1521"/>
    <w:rsid w:val="003D2A72"/>
    <w:rsid w:val="003D79AC"/>
    <w:rsid w:val="003E23A9"/>
    <w:rsid w:val="003E32A9"/>
    <w:rsid w:val="003E34E0"/>
    <w:rsid w:val="003E3837"/>
    <w:rsid w:val="003E768E"/>
    <w:rsid w:val="003E7BBB"/>
    <w:rsid w:val="003E7F4F"/>
    <w:rsid w:val="003F1CEC"/>
    <w:rsid w:val="003F43BC"/>
    <w:rsid w:val="003F4F4E"/>
    <w:rsid w:val="003F5E08"/>
    <w:rsid w:val="003F7208"/>
    <w:rsid w:val="003F754F"/>
    <w:rsid w:val="004005C3"/>
    <w:rsid w:val="00400E5C"/>
    <w:rsid w:val="0040110A"/>
    <w:rsid w:val="00401C6F"/>
    <w:rsid w:val="00402FCE"/>
    <w:rsid w:val="00406A7C"/>
    <w:rsid w:val="00406B11"/>
    <w:rsid w:val="00406C56"/>
    <w:rsid w:val="00410D33"/>
    <w:rsid w:val="00412BA5"/>
    <w:rsid w:val="00412F7B"/>
    <w:rsid w:val="00413DCF"/>
    <w:rsid w:val="0041432B"/>
    <w:rsid w:val="00420356"/>
    <w:rsid w:val="004203EA"/>
    <w:rsid w:val="0042047D"/>
    <w:rsid w:val="004225D6"/>
    <w:rsid w:val="00424819"/>
    <w:rsid w:val="00424C03"/>
    <w:rsid w:val="00425931"/>
    <w:rsid w:val="00425EA2"/>
    <w:rsid w:val="004269C9"/>
    <w:rsid w:val="004270CB"/>
    <w:rsid w:val="004305FD"/>
    <w:rsid w:val="00430FC3"/>
    <w:rsid w:val="0043322B"/>
    <w:rsid w:val="00434F01"/>
    <w:rsid w:val="004350B9"/>
    <w:rsid w:val="00435301"/>
    <w:rsid w:val="00435D98"/>
    <w:rsid w:val="00435F96"/>
    <w:rsid w:val="00436159"/>
    <w:rsid w:val="0043721B"/>
    <w:rsid w:val="00442260"/>
    <w:rsid w:val="004445FF"/>
    <w:rsid w:val="00444AB3"/>
    <w:rsid w:val="00445070"/>
    <w:rsid w:val="00445A46"/>
    <w:rsid w:val="00450A8A"/>
    <w:rsid w:val="00450D10"/>
    <w:rsid w:val="00450D54"/>
    <w:rsid w:val="00450D60"/>
    <w:rsid w:val="004516AB"/>
    <w:rsid w:val="0045188A"/>
    <w:rsid w:val="004530F8"/>
    <w:rsid w:val="0045358F"/>
    <w:rsid w:val="004545B7"/>
    <w:rsid w:val="004547F1"/>
    <w:rsid w:val="00454879"/>
    <w:rsid w:val="0045591C"/>
    <w:rsid w:val="004565A4"/>
    <w:rsid w:val="00456B13"/>
    <w:rsid w:val="00460EE6"/>
    <w:rsid w:val="00461E72"/>
    <w:rsid w:val="00462E0D"/>
    <w:rsid w:val="004655D0"/>
    <w:rsid w:val="00467581"/>
    <w:rsid w:val="004675A6"/>
    <w:rsid w:val="00470670"/>
    <w:rsid w:val="00470BC4"/>
    <w:rsid w:val="004711A8"/>
    <w:rsid w:val="004726D0"/>
    <w:rsid w:val="00472966"/>
    <w:rsid w:val="004737E7"/>
    <w:rsid w:val="004756FE"/>
    <w:rsid w:val="00483F54"/>
    <w:rsid w:val="0048424A"/>
    <w:rsid w:val="00484A01"/>
    <w:rsid w:val="00486170"/>
    <w:rsid w:val="0048689A"/>
    <w:rsid w:val="00487714"/>
    <w:rsid w:val="00492099"/>
    <w:rsid w:val="004927C1"/>
    <w:rsid w:val="004928E1"/>
    <w:rsid w:val="00495BCA"/>
    <w:rsid w:val="00495DC9"/>
    <w:rsid w:val="00497D25"/>
    <w:rsid w:val="00497FA2"/>
    <w:rsid w:val="004A064F"/>
    <w:rsid w:val="004A10D2"/>
    <w:rsid w:val="004A2267"/>
    <w:rsid w:val="004A36A2"/>
    <w:rsid w:val="004A43D1"/>
    <w:rsid w:val="004A5324"/>
    <w:rsid w:val="004A6F9A"/>
    <w:rsid w:val="004B0C7D"/>
    <w:rsid w:val="004B1220"/>
    <w:rsid w:val="004B3B55"/>
    <w:rsid w:val="004B47B1"/>
    <w:rsid w:val="004B4961"/>
    <w:rsid w:val="004B55CF"/>
    <w:rsid w:val="004B77DF"/>
    <w:rsid w:val="004C47C1"/>
    <w:rsid w:val="004C57BA"/>
    <w:rsid w:val="004C68B0"/>
    <w:rsid w:val="004C69D9"/>
    <w:rsid w:val="004D0087"/>
    <w:rsid w:val="004D14A8"/>
    <w:rsid w:val="004D1A7B"/>
    <w:rsid w:val="004D4E9B"/>
    <w:rsid w:val="004D593C"/>
    <w:rsid w:val="004D61F8"/>
    <w:rsid w:val="004E00C6"/>
    <w:rsid w:val="004E1765"/>
    <w:rsid w:val="004E3566"/>
    <w:rsid w:val="004E3C5A"/>
    <w:rsid w:val="004E5C46"/>
    <w:rsid w:val="004E6F96"/>
    <w:rsid w:val="004E7C11"/>
    <w:rsid w:val="004F0929"/>
    <w:rsid w:val="004F10BC"/>
    <w:rsid w:val="004F12F2"/>
    <w:rsid w:val="004F4636"/>
    <w:rsid w:val="004F60AC"/>
    <w:rsid w:val="005003BE"/>
    <w:rsid w:val="00500704"/>
    <w:rsid w:val="00501105"/>
    <w:rsid w:val="00504105"/>
    <w:rsid w:val="005044C9"/>
    <w:rsid w:val="00505C48"/>
    <w:rsid w:val="00507D37"/>
    <w:rsid w:val="00512424"/>
    <w:rsid w:val="0051245F"/>
    <w:rsid w:val="00513B01"/>
    <w:rsid w:val="00515083"/>
    <w:rsid w:val="00516932"/>
    <w:rsid w:val="005216DC"/>
    <w:rsid w:val="00522CA4"/>
    <w:rsid w:val="0052382E"/>
    <w:rsid w:val="0052486F"/>
    <w:rsid w:val="00526EBA"/>
    <w:rsid w:val="00527620"/>
    <w:rsid w:val="005277F6"/>
    <w:rsid w:val="00530E4B"/>
    <w:rsid w:val="00533DBC"/>
    <w:rsid w:val="00534577"/>
    <w:rsid w:val="0053506E"/>
    <w:rsid w:val="005369E4"/>
    <w:rsid w:val="005372DD"/>
    <w:rsid w:val="0054005E"/>
    <w:rsid w:val="005405A9"/>
    <w:rsid w:val="00541BA0"/>
    <w:rsid w:val="00541C62"/>
    <w:rsid w:val="00543C94"/>
    <w:rsid w:val="0054422C"/>
    <w:rsid w:val="0054443A"/>
    <w:rsid w:val="00544940"/>
    <w:rsid w:val="005455D2"/>
    <w:rsid w:val="0054799D"/>
    <w:rsid w:val="00547B38"/>
    <w:rsid w:val="00550398"/>
    <w:rsid w:val="00551878"/>
    <w:rsid w:val="005521DC"/>
    <w:rsid w:val="00555AC1"/>
    <w:rsid w:val="005564B5"/>
    <w:rsid w:val="005566D7"/>
    <w:rsid w:val="0055706E"/>
    <w:rsid w:val="005609D3"/>
    <w:rsid w:val="00562769"/>
    <w:rsid w:val="00562921"/>
    <w:rsid w:val="00562D47"/>
    <w:rsid w:val="0056603C"/>
    <w:rsid w:val="005671E2"/>
    <w:rsid w:val="005703C8"/>
    <w:rsid w:val="00572CED"/>
    <w:rsid w:val="00575C45"/>
    <w:rsid w:val="00576165"/>
    <w:rsid w:val="00580CB1"/>
    <w:rsid w:val="005818D1"/>
    <w:rsid w:val="00582060"/>
    <w:rsid w:val="0058272F"/>
    <w:rsid w:val="00585A08"/>
    <w:rsid w:val="00586B44"/>
    <w:rsid w:val="00594C7A"/>
    <w:rsid w:val="005A192C"/>
    <w:rsid w:val="005A23CD"/>
    <w:rsid w:val="005A3EFB"/>
    <w:rsid w:val="005A49A0"/>
    <w:rsid w:val="005A750D"/>
    <w:rsid w:val="005A7B44"/>
    <w:rsid w:val="005B0308"/>
    <w:rsid w:val="005B2453"/>
    <w:rsid w:val="005B25F8"/>
    <w:rsid w:val="005B25FC"/>
    <w:rsid w:val="005B260E"/>
    <w:rsid w:val="005B2F9D"/>
    <w:rsid w:val="005B36AC"/>
    <w:rsid w:val="005B4266"/>
    <w:rsid w:val="005B456F"/>
    <w:rsid w:val="005B482E"/>
    <w:rsid w:val="005B7231"/>
    <w:rsid w:val="005B73DD"/>
    <w:rsid w:val="005B7E5E"/>
    <w:rsid w:val="005C06DC"/>
    <w:rsid w:val="005C0AFB"/>
    <w:rsid w:val="005C19F7"/>
    <w:rsid w:val="005C1B71"/>
    <w:rsid w:val="005C34C0"/>
    <w:rsid w:val="005C505E"/>
    <w:rsid w:val="005C755A"/>
    <w:rsid w:val="005D08E9"/>
    <w:rsid w:val="005D0B70"/>
    <w:rsid w:val="005D3C82"/>
    <w:rsid w:val="005D5C26"/>
    <w:rsid w:val="005D7CC9"/>
    <w:rsid w:val="005E037F"/>
    <w:rsid w:val="005E114C"/>
    <w:rsid w:val="005E1C05"/>
    <w:rsid w:val="005E7AD0"/>
    <w:rsid w:val="005F20DF"/>
    <w:rsid w:val="005F2ABD"/>
    <w:rsid w:val="005F38C2"/>
    <w:rsid w:val="005F49A0"/>
    <w:rsid w:val="005F5496"/>
    <w:rsid w:val="005F566F"/>
    <w:rsid w:val="005F5CD4"/>
    <w:rsid w:val="005F5D92"/>
    <w:rsid w:val="005F625A"/>
    <w:rsid w:val="005F669E"/>
    <w:rsid w:val="005F6C51"/>
    <w:rsid w:val="005F74C9"/>
    <w:rsid w:val="005F76A8"/>
    <w:rsid w:val="005F7A9B"/>
    <w:rsid w:val="006003F9"/>
    <w:rsid w:val="006009BA"/>
    <w:rsid w:val="00601793"/>
    <w:rsid w:val="006031B1"/>
    <w:rsid w:val="00605222"/>
    <w:rsid w:val="006110E1"/>
    <w:rsid w:val="00611841"/>
    <w:rsid w:val="00612A02"/>
    <w:rsid w:val="00612A1B"/>
    <w:rsid w:val="006135D1"/>
    <w:rsid w:val="00613E80"/>
    <w:rsid w:val="006155E0"/>
    <w:rsid w:val="0061699E"/>
    <w:rsid w:val="0061701C"/>
    <w:rsid w:val="0061721B"/>
    <w:rsid w:val="006204C8"/>
    <w:rsid w:val="006210A5"/>
    <w:rsid w:val="00622716"/>
    <w:rsid w:val="00622991"/>
    <w:rsid w:val="00624615"/>
    <w:rsid w:val="00624D4C"/>
    <w:rsid w:val="00625CBB"/>
    <w:rsid w:val="006262B4"/>
    <w:rsid w:val="006270BE"/>
    <w:rsid w:val="006276D2"/>
    <w:rsid w:val="00627B57"/>
    <w:rsid w:val="00632993"/>
    <w:rsid w:val="00632B17"/>
    <w:rsid w:val="006344C8"/>
    <w:rsid w:val="00635B6F"/>
    <w:rsid w:val="006379B6"/>
    <w:rsid w:val="00640692"/>
    <w:rsid w:val="006407AE"/>
    <w:rsid w:val="0064349E"/>
    <w:rsid w:val="006440C6"/>
    <w:rsid w:val="00644319"/>
    <w:rsid w:val="0064497E"/>
    <w:rsid w:val="0065075E"/>
    <w:rsid w:val="0065287D"/>
    <w:rsid w:val="0065306C"/>
    <w:rsid w:val="006537D1"/>
    <w:rsid w:val="00653F27"/>
    <w:rsid w:val="006542EE"/>
    <w:rsid w:val="00655A54"/>
    <w:rsid w:val="00656C66"/>
    <w:rsid w:val="00657176"/>
    <w:rsid w:val="006573B7"/>
    <w:rsid w:val="00657E82"/>
    <w:rsid w:val="00660847"/>
    <w:rsid w:val="00660E53"/>
    <w:rsid w:val="00661244"/>
    <w:rsid w:val="00661C7C"/>
    <w:rsid w:val="00662613"/>
    <w:rsid w:val="00663422"/>
    <w:rsid w:val="00663518"/>
    <w:rsid w:val="00664324"/>
    <w:rsid w:val="00664622"/>
    <w:rsid w:val="00665862"/>
    <w:rsid w:val="00665903"/>
    <w:rsid w:val="00665A52"/>
    <w:rsid w:val="00666EF2"/>
    <w:rsid w:val="006675CC"/>
    <w:rsid w:val="00667FAA"/>
    <w:rsid w:val="00670155"/>
    <w:rsid w:val="0067030C"/>
    <w:rsid w:val="0067038D"/>
    <w:rsid w:val="00670CDE"/>
    <w:rsid w:val="00672449"/>
    <w:rsid w:val="006730A5"/>
    <w:rsid w:val="006745A1"/>
    <w:rsid w:val="00674E75"/>
    <w:rsid w:val="00677951"/>
    <w:rsid w:val="00683A1F"/>
    <w:rsid w:val="0068412E"/>
    <w:rsid w:val="00685C3E"/>
    <w:rsid w:val="00686957"/>
    <w:rsid w:val="00686AB1"/>
    <w:rsid w:val="00687B5B"/>
    <w:rsid w:val="0069030A"/>
    <w:rsid w:val="006906AF"/>
    <w:rsid w:val="00690EAC"/>
    <w:rsid w:val="00692DBA"/>
    <w:rsid w:val="006965B7"/>
    <w:rsid w:val="006A0301"/>
    <w:rsid w:val="006A0FE8"/>
    <w:rsid w:val="006A14A6"/>
    <w:rsid w:val="006A2243"/>
    <w:rsid w:val="006A27D3"/>
    <w:rsid w:val="006A422D"/>
    <w:rsid w:val="006A4B6A"/>
    <w:rsid w:val="006B0221"/>
    <w:rsid w:val="006B142A"/>
    <w:rsid w:val="006B25F2"/>
    <w:rsid w:val="006B4BD7"/>
    <w:rsid w:val="006B4EC5"/>
    <w:rsid w:val="006B51EA"/>
    <w:rsid w:val="006B6C9D"/>
    <w:rsid w:val="006C03F6"/>
    <w:rsid w:val="006C3A23"/>
    <w:rsid w:val="006C40C5"/>
    <w:rsid w:val="006C4326"/>
    <w:rsid w:val="006C4861"/>
    <w:rsid w:val="006C5608"/>
    <w:rsid w:val="006D24C3"/>
    <w:rsid w:val="006D28F5"/>
    <w:rsid w:val="006D5275"/>
    <w:rsid w:val="006D5DB6"/>
    <w:rsid w:val="006D6769"/>
    <w:rsid w:val="006D68DE"/>
    <w:rsid w:val="006D7396"/>
    <w:rsid w:val="006E0D3F"/>
    <w:rsid w:val="006E134C"/>
    <w:rsid w:val="006E4520"/>
    <w:rsid w:val="006E49F7"/>
    <w:rsid w:val="006E4B4B"/>
    <w:rsid w:val="006E5210"/>
    <w:rsid w:val="006E5F96"/>
    <w:rsid w:val="006E716D"/>
    <w:rsid w:val="006E7AC1"/>
    <w:rsid w:val="006F0882"/>
    <w:rsid w:val="006F092E"/>
    <w:rsid w:val="006F123F"/>
    <w:rsid w:val="006F48AB"/>
    <w:rsid w:val="006F6678"/>
    <w:rsid w:val="006F7654"/>
    <w:rsid w:val="0070040F"/>
    <w:rsid w:val="00701F68"/>
    <w:rsid w:val="00702122"/>
    <w:rsid w:val="007022D9"/>
    <w:rsid w:val="00703462"/>
    <w:rsid w:val="0070388C"/>
    <w:rsid w:val="00703E6B"/>
    <w:rsid w:val="0070514C"/>
    <w:rsid w:val="00705E80"/>
    <w:rsid w:val="00706C03"/>
    <w:rsid w:val="00710784"/>
    <w:rsid w:val="00710B50"/>
    <w:rsid w:val="0071218A"/>
    <w:rsid w:val="007127F2"/>
    <w:rsid w:val="00713071"/>
    <w:rsid w:val="0071397A"/>
    <w:rsid w:val="0071437E"/>
    <w:rsid w:val="00714678"/>
    <w:rsid w:val="007157C6"/>
    <w:rsid w:val="007163B5"/>
    <w:rsid w:val="00717C59"/>
    <w:rsid w:val="00721F92"/>
    <w:rsid w:val="00722835"/>
    <w:rsid w:val="00723168"/>
    <w:rsid w:val="007234E4"/>
    <w:rsid w:val="00724313"/>
    <w:rsid w:val="00731E69"/>
    <w:rsid w:val="0073293E"/>
    <w:rsid w:val="007329C6"/>
    <w:rsid w:val="00732EAA"/>
    <w:rsid w:val="00736F7F"/>
    <w:rsid w:val="007378C6"/>
    <w:rsid w:val="00737C28"/>
    <w:rsid w:val="00737C72"/>
    <w:rsid w:val="007417F9"/>
    <w:rsid w:val="007423A1"/>
    <w:rsid w:val="00744B08"/>
    <w:rsid w:val="00745F36"/>
    <w:rsid w:val="007476A2"/>
    <w:rsid w:val="007500E4"/>
    <w:rsid w:val="007513CE"/>
    <w:rsid w:val="00751FA8"/>
    <w:rsid w:val="007521C3"/>
    <w:rsid w:val="007524D3"/>
    <w:rsid w:val="007538E9"/>
    <w:rsid w:val="00753DD8"/>
    <w:rsid w:val="00754063"/>
    <w:rsid w:val="00754B25"/>
    <w:rsid w:val="00754C22"/>
    <w:rsid w:val="007579E9"/>
    <w:rsid w:val="00763229"/>
    <w:rsid w:val="00765A08"/>
    <w:rsid w:val="00765BF9"/>
    <w:rsid w:val="00766E33"/>
    <w:rsid w:val="00767C1A"/>
    <w:rsid w:val="00770B99"/>
    <w:rsid w:val="00770F6B"/>
    <w:rsid w:val="00774D30"/>
    <w:rsid w:val="007777F0"/>
    <w:rsid w:val="00777E45"/>
    <w:rsid w:val="00780E04"/>
    <w:rsid w:val="00781822"/>
    <w:rsid w:val="00786525"/>
    <w:rsid w:val="00787D44"/>
    <w:rsid w:val="0079014A"/>
    <w:rsid w:val="00790A28"/>
    <w:rsid w:val="00791007"/>
    <w:rsid w:val="00791804"/>
    <w:rsid w:val="00791A86"/>
    <w:rsid w:val="00792AAE"/>
    <w:rsid w:val="00793492"/>
    <w:rsid w:val="007945B1"/>
    <w:rsid w:val="0079545F"/>
    <w:rsid w:val="00796A68"/>
    <w:rsid w:val="00796B5B"/>
    <w:rsid w:val="007A2ADC"/>
    <w:rsid w:val="007A3D2A"/>
    <w:rsid w:val="007A55D6"/>
    <w:rsid w:val="007A7D92"/>
    <w:rsid w:val="007B1778"/>
    <w:rsid w:val="007B20B0"/>
    <w:rsid w:val="007B3047"/>
    <w:rsid w:val="007B5BDA"/>
    <w:rsid w:val="007B7EFF"/>
    <w:rsid w:val="007C2147"/>
    <w:rsid w:val="007C25FE"/>
    <w:rsid w:val="007C2956"/>
    <w:rsid w:val="007C32C7"/>
    <w:rsid w:val="007C6B4C"/>
    <w:rsid w:val="007C710B"/>
    <w:rsid w:val="007C7364"/>
    <w:rsid w:val="007D20D6"/>
    <w:rsid w:val="007D22FC"/>
    <w:rsid w:val="007D3274"/>
    <w:rsid w:val="007D33D6"/>
    <w:rsid w:val="007D3561"/>
    <w:rsid w:val="007D3F75"/>
    <w:rsid w:val="007D41C8"/>
    <w:rsid w:val="007D4C6A"/>
    <w:rsid w:val="007D5722"/>
    <w:rsid w:val="007D5843"/>
    <w:rsid w:val="007D5AA5"/>
    <w:rsid w:val="007E41B7"/>
    <w:rsid w:val="007E4446"/>
    <w:rsid w:val="007E4894"/>
    <w:rsid w:val="007E5259"/>
    <w:rsid w:val="007E546C"/>
    <w:rsid w:val="007E5D45"/>
    <w:rsid w:val="007E7556"/>
    <w:rsid w:val="007E7625"/>
    <w:rsid w:val="007E78F9"/>
    <w:rsid w:val="007F4591"/>
    <w:rsid w:val="007F45E3"/>
    <w:rsid w:val="007F5264"/>
    <w:rsid w:val="007F56E1"/>
    <w:rsid w:val="007F5F57"/>
    <w:rsid w:val="007F6E30"/>
    <w:rsid w:val="00800E7C"/>
    <w:rsid w:val="00803B21"/>
    <w:rsid w:val="00804286"/>
    <w:rsid w:val="008050F2"/>
    <w:rsid w:val="0080558F"/>
    <w:rsid w:val="00805851"/>
    <w:rsid w:val="008059C9"/>
    <w:rsid w:val="008102E1"/>
    <w:rsid w:val="00811152"/>
    <w:rsid w:val="00812881"/>
    <w:rsid w:val="00812B6E"/>
    <w:rsid w:val="00815BA9"/>
    <w:rsid w:val="008169C1"/>
    <w:rsid w:val="0081760A"/>
    <w:rsid w:val="00820E79"/>
    <w:rsid w:val="00821EFA"/>
    <w:rsid w:val="008225D4"/>
    <w:rsid w:val="00822CCB"/>
    <w:rsid w:val="00825C02"/>
    <w:rsid w:val="00826D75"/>
    <w:rsid w:val="00831F5A"/>
    <w:rsid w:val="008340ED"/>
    <w:rsid w:val="008349DE"/>
    <w:rsid w:val="00836D21"/>
    <w:rsid w:val="00837945"/>
    <w:rsid w:val="00841D22"/>
    <w:rsid w:val="00845269"/>
    <w:rsid w:val="0084618A"/>
    <w:rsid w:val="008462E8"/>
    <w:rsid w:val="00846F85"/>
    <w:rsid w:val="008470C0"/>
    <w:rsid w:val="00850492"/>
    <w:rsid w:val="0085466F"/>
    <w:rsid w:val="0085502C"/>
    <w:rsid w:val="00855609"/>
    <w:rsid w:val="008567D7"/>
    <w:rsid w:val="00856DA6"/>
    <w:rsid w:val="00856F75"/>
    <w:rsid w:val="008609A0"/>
    <w:rsid w:val="0086131D"/>
    <w:rsid w:val="00861B35"/>
    <w:rsid w:val="0086246C"/>
    <w:rsid w:val="00863875"/>
    <w:rsid w:val="00863929"/>
    <w:rsid w:val="00864205"/>
    <w:rsid w:val="0086422C"/>
    <w:rsid w:val="008669B3"/>
    <w:rsid w:val="00867AC9"/>
    <w:rsid w:val="0087307A"/>
    <w:rsid w:val="008736C0"/>
    <w:rsid w:val="008748F3"/>
    <w:rsid w:val="0087664F"/>
    <w:rsid w:val="00877F76"/>
    <w:rsid w:val="00880290"/>
    <w:rsid w:val="0088367F"/>
    <w:rsid w:val="00883A0D"/>
    <w:rsid w:val="00883B8A"/>
    <w:rsid w:val="008902CE"/>
    <w:rsid w:val="00890B2D"/>
    <w:rsid w:val="008910CD"/>
    <w:rsid w:val="00891C14"/>
    <w:rsid w:val="00891F35"/>
    <w:rsid w:val="008931AF"/>
    <w:rsid w:val="008935DC"/>
    <w:rsid w:val="008940A0"/>
    <w:rsid w:val="00895BF6"/>
    <w:rsid w:val="0089649B"/>
    <w:rsid w:val="00896A83"/>
    <w:rsid w:val="00896AC2"/>
    <w:rsid w:val="0089798E"/>
    <w:rsid w:val="008A02A6"/>
    <w:rsid w:val="008A0767"/>
    <w:rsid w:val="008A2B88"/>
    <w:rsid w:val="008A5161"/>
    <w:rsid w:val="008B117F"/>
    <w:rsid w:val="008B4375"/>
    <w:rsid w:val="008B47F2"/>
    <w:rsid w:val="008C055A"/>
    <w:rsid w:val="008C106D"/>
    <w:rsid w:val="008C4B67"/>
    <w:rsid w:val="008C7BC7"/>
    <w:rsid w:val="008D13FF"/>
    <w:rsid w:val="008D14BD"/>
    <w:rsid w:val="008D23DD"/>
    <w:rsid w:val="008D2681"/>
    <w:rsid w:val="008D4322"/>
    <w:rsid w:val="008D4473"/>
    <w:rsid w:val="008D4DCA"/>
    <w:rsid w:val="008D7D1F"/>
    <w:rsid w:val="008E0AC9"/>
    <w:rsid w:val="008E1954"/>
    <w:rsid w:val="008E1C42"/>
    <w:rsid w:val="008E1FC9"/>
    <w:rsid w:val="008E2B27"/>
    <w:rsid w:val="008E4807"/>
    <w:rsid w:val="008E6E09"/>
    <w:rsid w:val="008F0084"/>
    <w:rsid w:val="008F0D64"/>
    <w:rsid w:val="008F18B9"/>
    <w:rsid w:val="008F1954"/>
    <w:rsid w:val="008F1DD9"/>
    <w:rsid w:val="008F2646"/>
    <w:rsid w:val="008F364D"/>
    <w:rsid w:val="008F4597"/>
    <w:rsid w:val="008F5DD1"/>
    <w:rsid w:val="008F6507"/>
    <w:rsid w:val="008F77F7"/>
    <w:rsid w:val="008F7886"/>
    <w:rsid w:val="00900878"/>
    <w:rsid w:val="00902126"/>
    <w:rsid w:val="0090212A"/>
    <w:rsid w:val="009067A7"/>
    <w:rsid w:val="00910387"/>
    <w:rsid w:val="009109B3"/>
    <w:rsid w:val="00911D0A"/>
    <w:rsid w:val="009125C9"/>
    <w:rsid w:val="00913194"/>
    <w:rsid w:val="009176EA"/>
    <w:rsid w:val="009179E9"/>
    <w:rsid w:val="00920D02"/>
    <w:rsid w:val="00922497"/>
    <w:rsid w:val="00922BD5"/>
    <w:rsid w:val="00923352"/>
    <w:rsid w:val="00924E32"/>
    <w:rsid w:val="009254AE"/>
    <w:rsid w:val="00927A46"/>
    <w:rsid w:val="00927D7B"/>
    <w:rsid w:val="00930467"/>
    <w:rsid w:val="00930F1D"/>
    <w:rsid w:val="00930FFF"/>
    <w:rsid w:val="00931862"/>
    <w:rsid w:val="009339D1"/>
    <w:rsid w:val="009371FC"/>
    <w:rsid w:val="009401A0"/>
    <w:rsid w:val="00942268"/>
    <w:rsid w:val="00943D86"/>
    <w:rsid w:val="00944A32"/>
    <w:rsid w:val="00945E0B"/>
    <w:rsid w:val="009467B2"/>
    <w:rsid w:val="00951517"/>
    <w:rsid w:val="00952598"/>
    <w:rsid w:val="00952771"/>
    <w:rsid w:val="00953B84"/>
    <w:rsid w:val="00954C57"/>
    <w:rsid w:val="00954FFF"/>
    <w:rsid w:val="00955468"/>
    <w:rsid w:val="00960637"/>
    <w:rsid w:val="0096230F"/>
    <w:rsid w:val="00964038"/>
    <w:rsid w:val="0096452A"/>
    <w:rsid w:val="009649FA"/>
    <w:rsid w:val="00966F40"/>
    <w:rsid w:val="00967F38"/>
    <w:rsid w:val="00970ECF"/>
    <w:rsid w:val="0097207F"/>
    <w:rsid w:val="00975B7A"/>
    <w:rsid w:val="00977125"/>
    <w:rsid w:val="00977B0A"/>
    <w:rsid w:val="009823ED"/>
    <w:rsid w:val="00985578"/>
    <w:rsid w:val="009877E8"/>
    <w:rsid w:val="009917DE"/>
    <w:rsid w:val="00992882"/>
    <w:rsid w:val="00994DC5"/>
    <w:rsid w:val="00996857"/>
    <w:rsid w:val="00997306"/>
    <w:rsid w:val="009A0149"/>
    <w:rsid w:val="009A0571"/>
    <w:rsid w:val="009A2CDD"/>
    <w:rsid w:val="009A311E"/>
    <w:rsid w:val="009A5B59"/>
    <w:rsid w:val="009B174B"/>
    <w:rsid w:val="009B310D"/>
    <w:rsid w:val="009B3B7F"/>
    <w:rsid w:val="009B4DA9"/>
    <w:rsid w:val="009B4F2B"/>
    <w:rsid w:val="009C02AA"/>
    <w:rsid w:val="009C120A"/>
    <w:rsid w:val="009C292C"/>
    <w:rsid w:val="009C461D"/>
    <w:rsid w:val="009C6056"/>
    <w:rsid w:val="009C607C"/>
    <w:rsid w:val="009C6B34"/>
    <w:rsid w:val="009C7E1C"/>
    <w:rsid w:val="009D2E16"/>
    <w:rsid w:val="009D4A37"/>
    <w:rsid w:val="009D6379"/>
    <w:rsid w:val="009D770D"/>
    <w:rsid w:val="009D7A47"/>
    <w:rsid w:val="009E0A4B"/>
    <w:rsid w:val="009E0F04"/>
    <w:rsid w:val="009E156C"/>
    <w:rsid w:val="009E37F3"/>
    <w:rsid w:val="009E3A99"/>
    <w:rsid w:val="009E406D"/>
    <w:rsid w:val="009E7421"/>
    <w:rsid w:val="009F1F37"/>
    <w:rsid w:val="009F3F18"/>
    <w:rsid w:val="009F62F8"/>
    <w:rsid w:val="009F681B"/>
    <w:rsid w:val="009F7429"/>
    <w:rsid w:val="009F7547"/>
    <w:rsid w:val="00A00D9A"/>
    <w:rsid w:val="00A017D7"/>
    <w:rsid w:val="00A02744"/>
    <w:rsid w:val="00A03400"/>
    <w:rsid w:val="00A062EA"/>
    <w:rsid w:val="00A06956"/>
    <w:rsid w:val="00A10639"/>
    <w:rsid w:val="00A113E3"/>
    <w:rsid w:val="00A14B57"/>
    <w:rsid w:val="00A14E4C"/>
    <w:rsid w:val="00A1694A"/>
    <w:rsid w:val="00A23CF7"/>
    <w:rsid w:val="00A24DD3"/>
    <w:rsid w:val="00A26020"/>
    <w:rsid w:val="00A27565"/>
    <w:rsid w:val="00A308A6"/>
    <w:rsid w:val="00A30F5D"/>
    <w:rsid w:val="00A35200"/>
    <w:rsid w:val="00A352ED"/>
    <w:rsid w:val="00A366CC"/>
    <w:rsid w:val="00A36EFE"/>
    <w:rsid w:val="00A40F3C"/>
    <w:rsid w:val="00A41F4C"/>
    <w:rsid w:val="00A42ED5"/>
    <w:rsid w:val="00A43630"/>
    <w:rsid w:val="00A43E1D"/>
    <w:rsid w:val="00A44CE0"/>
    <w:rsid w:val="00A44D9B"/>
    <w:rsid w:val="00A451EC"/>
    <w:rsid w:val="00A47401"/>
    <w:rsid w:val="00A50A0D"/>
    <w:rsid w:val="00A520BC"/>
    <w:rsid w:val="00A520CB"/>
    <w:rsid w:val="00A52BE9"/>
    <w:rsid w:val="00A53110"/>
    <w:rsid w:val="00A5394E"/>
    <w:rsid w:val="00A563DE"/>
    <w:rsid w:val="00A564C4"/>
    <w:rsid w:val="00A57582"/>
    <w:rsid w:val="00A577F4"/>
    <w:rsid w:val="00A610E0"/>
    <w:rsid w:val="00A61197"/>
    <w:rsid w:val="00A61E72"/>
    <w:rsid w:val="00A62E45"/>
    <w:rsid w:val="00A6494F"/>
    <w:rsid w:val="00A65A31"/>
    <w:rsid w:val="00A66BE9"/>
    <w:rsid w:val="00A706C0"/>
    <w:rsid w:val="00A75C8D"/>
    <w:rsid w:val="00A75E48"/>
    <w:rsid w:val="00A76CC3"/>
    <w:rsid w:val="00A774A6"/>
    <w:rsid w:val="00A81AF7"/>
    <w:rsid w:val="00A829A0"/>
    <w:rsid w:val="00A832D3"/>
    <w:rsid w:val="00A848AC"/>
    <w:rsid w:val="00A84A56"/>
    <w:rsid w:val="00A84E8E"/>
    <w:rsid w:val="00A87866"/>
    <w:rsid w:val="00A90287"/>
    <w:rsid w:val="00A90DB1"/>
    <w:rsid w:val="00A911D2"/>
    <w:rsid w:val="00A920CA"/>
    <w:rsid w:val="00A928A1"/>
    <w:rsid w:val="00A93C6F"/>
    <w:rsid w:val="00A93E6F"/>
    <w:rsid w:val="00A96C5E"/>
    <w:rsid w:val="00A97733"/>
    <w:rsid w:val="00AA0C29"/>
    <w:rsid w:val="00AA172E"/>
    <w:rsid w:val="00AA2AA8"/>
    <w:rsid w:val="00AA4745"/>
    <w:rsid w:val="00AA5FFF"/>
    <w:rsid w:val="00AA77FC"/>
    <w:rsid w:val="00AA7894"/>
    <w:rsid w:val="00AB29FE"/>
    <w:rsid w:val="00AB2F63"/>
    <w:rsid w:val="00AB59CE"/>
    <w:rsid w:val="00AB6B25"/>
    <w:rsid w:val="00AB730D"/>
    <w:rsid w:val="00AB735D"/>
    <w:rsid w:val="00AB7789"/>
    <w:rsid w:val="00AB7B21"/>
    <w:rsid w:val="00AC06E5"/>
    <w:rsid w:val="00AC0F27"/>
    <w:rsid w:val="00AC17CA"/>
    <w:rsid w:val="00AC3103"/>
    <w:rsid w:val="00AC520C"/>
    <w:rsid w:val="00AC61E0"/>
    <w:rsid w:val="00AC6B2F"/>
    <w:rsid w:val="00AD0F9F"/>
    <w:rsid w:val="00AD1210"/>
    <w:rsid w:val="00AD125C"/>
    <w:rsid w:val="00AD1414"/>
    <w:rsid w:val="00AD3A7B"/>
    <w:rsid w:val="00AD5135"/>
    <w:rsid w:val="00AD5752"/>
    <w:rsid w:val="00AE027C"/>
    <w:rsid w:val="00AE0EFD"/>
    <w:rsid w:val="00AE2536"/>
    <w:rsid w:val="00AE2696"/>
    <w:rsid w:val="00AE3036"/>
    <w:rsid w:val="00AE3426"/>
    <w:rsid w:val="00AE34EE"/>
    <w:rsid w:val="00AE3FA7"/>
    <w:rsid w:val="00AE5D40"/>
    <w:rsid w:val="00AE610F"/>
    <w:rsid w:val="00AE71AE"/>
    <w:rsid w:val="00AF0499"/>
    <w:rsid w:val="00AF0CE7"/>
    <w:rsid w:val="00AF1059"/>
    <w:rsid w:val="00AF46AB"/>
    <w:rsid w:val="00AF4ACC"/>
    <w:rsid w:val="00B022CE"/>
    <w:rsid w:val="00B0441B"/>
    <w:rsid w:val="00B04FE6"/>
    <w:rsid w:val="00B079A3"/>
    <w:rsid w:val="00B10292"/>
    <w:rsid w:val="00B104A9"/>
    <w:rsid w:val="00B11875"/>
    <w:rsid w:val="00B118A4"/>
    <w:rsid w:val="00B11CC7"/>
    <w:rsid w:val="00B1269E"/>
    <w:rsid w:val="00B12B66"/>
    <w:rsid w:val="00B13993"/>
    <w:rsid w:val="00B14924"/>
    <w:rsid w:val="00B1660D"/>
    <w:rsid w:val="00B17DD6"/>
    <w:rsid w:val="00B21982"/>
    <w:rsid w:val="00B2223E"/>
    <w:rsid w:val="00B24119"/>
    <w:rsid w:val="00B249F1"/>
    <w:rsid w:val="00B25E69"/>
    <w:rsid w:val="00B303B5"/>
    <w:rsid w:val="00B30DA1"/>
    <w:rsid w:val="00B313E9"/>
    <w:rsid w:val="00B326FA"/>
    <w:rsid w:val="00B34418"/>
    <w:rsid w:val="00B35336"/>
    <w:rsid w:val="00B35B9F"/>
    <w:rsid w:val="00B37C38"/>
    <w:rsid w:val="00B42174"/>
    <w:rsid w:val="00B4254A"/>
    <w:rsid w:val="00B42D80"/>
    <w:rsid w:val="00B439CB"/>
    <w:rsid w:val="00B43E0C"/>
    <w:rsid w:val="00B44115"/>
    <w:rsid w:val="00B4433D"/>
    <w:rsid w:val="00B44DCA"/>
    <w:rsid w:val="00B4583F"/>
    <w:rsid w:val="00B45D09"/>
    <w:rsid w:val="00B4689E"/>
    <w:rsid w:val="00B55223"/>
    <w:rsid w:val="00B55F5C"/>
    <w:rsid w:val="00B61CAC"/>
    <w:rsid w:val="00B62854"/>
    <w:rsid w:val="00B62FBE"/>
    <w:rsid w:val="00B72259"/>
    <w:rsid w:val="00B723F5"/>
    <w:rsid w:val="00B72533"/>
    <w:rsid w:val="00B73855"/>
    <w:rsid w:val="00B744B7"/>
    <w:rsid w:val="00B75259"/>
    <w:rsid w:val="00B75427"/>
    <w:rsid w:val="00B75F12"/>
    <w:rsid w:val="00B76B51"/>
    <w:rsid w:val="00B77B32"/>
    <w:rsid w:val="00B804F5"/>
    <w:rsid w:val="00B81320"/>
    <w:rsid w:val="00B816C2"/>
    <w:rsid w:val="00B81E6A"/>
    <w:rsid w:val="00B83844"/>
    <w:rsid w:val="00B84539"/>
    <w:rsid w:val="00B91496"/>
    <w:rsid w:val="00B94F9E"/>
    <w:rsid w:val="00B95CE3"/>
    <w:rsid w:val="00B963E3"/>
    <w:rsid w:val="00B97573"/>
    <w:rsid w:val="00BA0B77"/>
    <w:rsid w:val="00BA32E6"/>
    <w:rsid w:val="00BA3588"/>
    <w:rsid w:val="00BA7224"/>
    <w:rsid w:val="00BB15AB"/>
    <w:rsid w:val="00BB4E0E"/>
    <w:rsid w:val="00BB513E"/>
    <w:rsid w:val="00BB5456"/>
    <w:rsid w:val="00BC1DBE"/>
    <w:rsid w:val="00BC22DB"/>
    <w:rsid w:val="00BC32E7"/>
    <w:rsid w:val="00BC3884"/>
    <w:rsid w:val="00BC443B"/>
    <w:rsid w:val="00BC799E"/>
    <w:rsid w:val="00BC7BE7"/>
    <w:rsid w:val="00BD07DA"/>
    <w:rsid w:val="00BD1610"/>
    <w:rsid w:val="00BD30CC"/>
    <w:rsid w:val="00BD3C26"/>
    <w:rsid w:val="00BD45FC"/>
    <w:rsid w:val="00BD47FD"/>
    <w:rsid w:val="00BD638A"/>
    <w:rsid w:val="00BE01DA"/>
    <w:rsid w:val="00BE0D3B"/>
    <w:rsid w:val="00BE1776"/>
    <w:rsid w:val="00BE5D49"/>
    <w:rsid w:val="00BE709A"/>
    <w:rsid w:val="00BF3A7D"/>
    <w:rsid w:val="00BF44FA"/>
    <w:rsid w:val="00BF48A7"/>
    <w:rsid w:val="00BF4FC4"/>
    <w:rsid w:val="00C02189"/>
    <w:rsid w:val="00C07EBA"/>
    <w:rsid w:val="00C12370"/>
    <w:rsid w:val="00C128DB"/>
    <w:rsid w:val="00C13F36"/>
    <w:rsid w:val="00C14A0E"/>
    <w:rsid w:val="00C14A34"/>
    <w:rsid w:val="00C14E9D"/>
    <w:rsid w:val="00C14F8D"/>
    <w:rsid w:val="00C16FE6"/>
    <w:rsid w:val="00C175C4"/>
    <w:rsid w:val="00C20C3B"/>
    <w:rsid w:val="00C21A31"/>
    <w:rsid w:val="00C22541"/>
    <w:rsid w:val="00C22AFE"/>
    <w:rsid w:val="00C22D4D"/>
    <w:rsid w:val="00C248CE"/>
    <w:rsid w:val="00C251D5"/>
    <w:rsid w:val="00C261B7"/>
    <w:rsid w:val="00C276B3"/>
    <w:rsid w:val="00C300CD"/>
    <w:rsid w:val="00C3092C"/>
    <w:rsid w:val="00C3261E"/>
    <w:rsid w:val="00C35FD6"/>
    <w:rsid w:val="00C36EEA"/>
    <w:rsid w:val="00C36EEE"/>
    <w:rsid w:val="00C42738"/>
    <w:rsid w:val="00C428F8"/>
    <w:rsid w:val="00C42D92"/>
    <w:rsid w:val="00C43DEB"/>
    <w:rsid w:val="00C442CA"/>
    <w:rsid w:val="00C44472"/>
    <w:rsid w:val="00C4468D"/>
    <w:rsid w:val="00C4566F"/>
    <w:rsid w:val="00C456B1"/>
    <w:rsid w:val="00C46C53"/>
    <w:rsid w:val="00C46EAC"/>
    <w:rsid w:val="00C47774"/>
    <w:rsid w:val="00C47F2F"/>
    <w:rsid w:val="00C507D3"/>
    <w:rsid w:val="00C50F6E"/>
    <w:rsid w:val="00C52642"/>
    <w:rsid w:val="00C52D09"/>
    <w:rsid w:val="00C52D28"/>
    <w:rsid w:val="00C551C5"/>
    <w:rsid w:val="00C570B5"/>
    <w:rsid w:val="00C5757A"/>
    <w:rsid w:val="00C6419C"/>
    <w:rsid w:val="00C6455F"/>
    <w:rsid w:val="00C64BC0"/>
    <w:rsid w:val="00C65532"/>
    <w:rsid w:val="00C75BCC"/>
    <w:rsid w:val="00C77A18"/>
    <w:rsid w:val="00C80065"/>
    <w:rsid w:val="00C805F3"/>
    <w:rsid w:val="00C82422"/>
    <w:rsid w:val="00C826CD"/>
    <w:rsid w:val="00C86110"/>
    <w:rsid w:val="00C90718"/>
    <w:rsid w:val="00C90960"/>
    <w:rsid w:val="00C90D9E"/>
    <w:rsid w:val="00C9140C"/>
    <w:rsid w:val="00C93256"/>
    <w:rsid w:val="00C9374E"/>
    <w:rsid w:val="00C96AF5"/>
    <w:rsid w:val="00CA0770"/>
    <w:rsid w:val="00CA23BB"/>
    <w:rsid w:val="00CA267E"/>
    <w:rsid w:val="00CA2EEB"/>
    <w:rsid w:val="00CA4DA9"/>
    <w:rsid w:val="00CA4F6A"/>
    <w:rsid w:val="00CA5875"/>
    <w:rsid w:val="00CA697E"/>
    <w:rsid w:val="00CA6E6C"/>
    <w:rsid w:val="00CB314C"/>
    <w:rsid w:val="00CB318C"/>
    <w:rsid w:val="00CB5033"/>
    <w:rsid w:val="00CB70B5"/>
    <w:rsid w:val="00CB7EC8"/>
    <w:rsid w:val="00CC1830"/>
    <w:rsid w:val="00CC26B2"/>
    <w:rsid w:val="00CC351D"/>
    <w:rsid w:val="00CC7462"/>
    <w:rsid w:val="00CD0738"/>
    <w:rsid w:val="00CD1066"/>
    <w:rsid w:val="00CD28E6"/>
    <w:rsid w:val="00CD3B2A"/>
    <w:rsid w:val="00CD5499"/>
    <w:rsid w:val="00CE270C"/>
    <w:rsid w:val="00CE2886"/>
    <w:rsid w:val="00CE40EB"/>
    <w:rsid w:val="00CE5897"/>
    <w:rsid w:val="00CE62DA"/>
    <w:rsid w:val="00CE63C2"/>
    <w:rsid w:val="00CF50F8"/>
    <w:rsid w:val="00CF5CEB"/>
    <w:rsid w:val="00D002FB"/>
    <w:rsid w:val="00D00572"/>
    <w:rsid w:val="00D012A1"/>
    <w:rsid w:val="00D02756"/>
    <w:rsid w:val="00D02854"/>
    <w:rsid w:val="00D052F1"/>
    <w:rsid w:val="00D0713B"/>
    <w:rsid w:val="00D1171C"/>
    <w:rsid w:val="00D12155"/>
    <w:rsid w:val="00D12EED"/>
    <w:rsid w:val="00D136D9"/>
    <w:rsid w:val="00D17754"/>
    <w:rsid w:val="00D208A7"/>
    <w:rsid w:val="00D21854"/>
    <w:rsid w:val="00D221B0"/>
    <w:rsid w:val="00D221B6"/>
    <w:rsid w:val="00D2348C"/>
    <w:rsid w:val="00D25E99"/>
    <w:rsid w:val="00D26899"/>
    <w:rsid w:val="00D300EF"/>
    <w:rsid w:val="00D30AC8"/>
    <w:rsid w:val="00D353CC"/>
    <w:rsid w:val="00D35B6F"/>
    <w:rsid w:val="00D35B87"/>
    <w:rsid w:val="00D372AC"/>
    <w:rsid w:val="00D37E3B"/>
    <w:rsid w:val="00D418A5"/>
    <w:rsid w:val="00D41BFF"/>
    <w:rsid w:val="00D42E37"/>
    <w:rsid w:val="00D42E3A"/>
    <w:rsid w:val="00D43AB5"/>
    <w:rsid w:val="00D45DAC"/>
    <w:rsid w:val="00D46123"/>
    <w:rsid w:val="00D500C2"/>
    <w:rsid w:val="00D52584"/>
    <w:rsid w:val="00D53B63"/>
    <w:rsid w:val="00D542BA"/>
    <w:rsid w:val="00D54606"/>
    <w:rsid w:val="00D556F7"/>
    <w:rsid w:val="00D55C59"/>
    <w:rsid w:val="00D562E4"/>
    <w:rsid w:val="00D572AA"/>
    <w:rsid w:val="00D61E57"/>
    <w:rsid w:val="00D62586"/>
    <w:rsid w:val="00D63ED8"/>
    <w:rsid w:val="00D6550C"/>
    <w:rsid w:val="00D7148D"/>
    <w:rsid w:val="00D73175"/>
    <w:rsid w:val="00D73572"/>
    <w:rsid w:val="00D74E83"/>
    <w:rsid w:val="00D75A22"/>
    <w:rsid w:val="00D75D76"/>
    <w:rsid w:val="00D80E66"/>
    <w:rsid w:val="00D865B3"/>
    <w:rsid w:val="00D86DB5"/>
    <w:rsid w:val="00D90998"/>
    <w:rsid w:val="00D91336"/>
    <w:rsid w:val="00D91B2E"/>
    <w:rsid w:val="00D92765"/>
    <w:rsid w:val="00D933F3"/>
    <w:rsid w:val="00D93BE0"/>
    <w:rsid w:val="00D94B1E"/>
    <w:rsid w:val="00D959F3"/>
    <w:rsid w:val="00D95DB0"/>
    <w:rsid w:val="00D96DD5"/>
    <w:rsid w:val="00D97785"/>
    <w:rsid w:val="00D97DAC"/>
    <w:rsid w:val="00DA2CFB"/>
    <w:rsid w:val="00DA38F5"/>
    <w:rsid w:val="00DA43DB"/>
    <w:rsid w:val="00DA4614"/>
    <w:rsid w:val="00DA6E43"/>
    <w:rsid w:val="00DB11FF"/>
    <w:rsid w:val="00DB155C"/>
    <w:rsid w:val="00DB279A"/>
    <w:rsid w:val="00DB33CD"/>
    <w:rsid w:val="00DB3763"/>
    <w:rsid w:val="00DB5908"/>
    <w:rsid w:val="00DB6DBE"/>
    <w:rsid w:val="00DB77E8"/>
    <w:rsid w:val="00DB7A18"/>
    <w:rsid w:val="00DC11B9"/>
    <w:rsid w:val="00DC45CB"/>
    <w:rsid w:val="00DC4995"/>
    <w:rsid w:val="00DC4DFF"/>
    <w:rsid w:val="00DC51D0"/>
    <w:rsid w:val="00DC54EF"/>
    <w:rsid w:val="00DC5D40"/>
    <w:rsid w:val="00DC5E45"/>
    <w:rsid w:val="00DD13A4"/>
    <w:rsid w:val="00DD17EF"/>
    <w:rsid w:val="00DD25EF"/>
    <w:rsid w:val="00DD27F6"/>
    <w:rsid w:val="00DD7973"/>
    <w:rsid w:val="00DE0AD0"/>
    <w:rsid w:val="00DE1C45"/>
    <w:rsid w:val="00DE23FB"/>
    <w:rsid w:val="00DE3CEC"/>
    <w:rsid w:val="00DE435C"/>
    <w:rsid w:val="00DE4899"/>
    <w:rsid w:val="00DE6703"/>
    <w:rsid w:val="00DE6DD2"/>
    <w:rsid w:val="00DF0D48"/>
    <w:rsid w:val="00DF0F58"/>
    <w:rsid w:val="00DF0FC9"/>
    <w:rsid w:val="00DF1568"/>
    <w:rsid w:val="00DF2B36"/>
    <w:rsid w:val="00DF3EA6"/>
    <w:rsid w:val="00DF4653"/>
    <w:rsid w:val="00DF4736"/>
    <w:rsid w:val="00DF69CE"/>
    <w:rsid w:val="00DF72CB"/>
    <w:rsid w:val="00DF7ED1"/>
    <w:rsid w:val="00E01801"/>
    <w:rsid w:val="00E0284C"/>
    <w:rsid w:val="00E02A1E"/>
    <w:rsid w:val="00E02D35"/>
    <w:rsid w:val="00E0342F"/>
    <w:rsid w:val="00E03908"/>
    <w:rsid w:val="00E049D9"/>
    <w:rsid w:val="00E051A8"/>
    <w:rsid w:val="00E10A00"/>
    <w:rsid w:val="00E12241"/>
    <w:rsid w:val="00E126CB"/>
    <w:rsid w:val="00E1281D"/>
    <w:rsid w:val="00E14541"/>
    <w:rsid w:val="00E1476B"/>
    <w:rsid w:val="00E1604A"/>
    <w:rsid w:val="00E169F8"/>
    <w:rsid w:val="00E17385"/>
    <w:rsid w:val="00E17BEB"/>
    <w:rsid w:val="00E21653"/>
    <w:rsid w:val="00E22D0C"/>
    <w:rsid w:val="00E3495E"/>
    <w:rsid w:val="00E36FEF"/>
    <w:rsid w:val="00E429F8"/>
    <w:rsid w:val="00E431A0"/>
    <w:rsid w:val="00E431ED"/>
    <w:rsid w:val="00E44582"/>
    <w:rsid w:val="00E453B4"/>
    <w:rsid w:val="00E45589"/>
    <w:rsid w:val="00E46B3C"/>
    <w:rsid w:val="00E46F37"/>
    <w:rsid w:val="00E4779A"/>
    <w:rsid w:val="00E51AF6"/>
    <w:rsid w:val="00E51C02"/>
    <w:rsid w:val="00E549BD"/>
    <w:rsid w:val="00E5698E"/>
    <w:rsid w:val="00E57B15"/>
    <w:rsid w:val="00E6029F"/>
    <w:rsid w:val="00E66B4D"/>
    <w:rsid w:val="00E7085D"/>
    <w:rsid w:val="00E71364"/>
    <w:rsid w:val="00E71CA3"/>
    <w:rsid w:val="00E71F70"/>
    <w:rsid w:val="00E7336A"/>
    <w:rsid w:val="00E7405F"/>
    <w:rsid w:val="00E7500B"/>
    <w:rsid w:val="00E7536D"/>
    <w:rsid w:val="00E75F73"/>
    <w:rsid w:val="00E764A0"/>
    <w:rsid w:val="00E768EA"/>
    <w:rsid w:val="00E81A35"/>
    <w:rsid w:val="00E844CC"/>
    <w:rsid w:val="00E94CE0"/>
    <w:rsid w:val="00EA0EBA"/>
    <w:rsid w:val="00EA0EEF"/>
    <w:rsid w:val="00EA4FE2"/>
    <w:rsid w:val="00EA516D"/>
    <w:rsid w:val="00EA65D9"/>
    <w:rsid w:val="00EA717F"/>
    <w:rsid w:val="00EA7A8D"/>
    <w:rsid w:val="00EB19A3"/>
    <w:rsid w:val="00EB1D2A"/>
    <w:rsid w:val="00EB5227"/>
    <w:rsid w:val="00EC1091"/>
    <w:rsid w:val="00EC1A49"/>
    <w:rsid w:val="00EC6875"/>
    <w:rsid w:val="00EC77F2"/>
    <w:rsid w:val="00ED245F"/>
    <w:rsid w:val="00ED2713"/>
    <w:rsid w:val="00ED2C63"/>
    <w:rsid w:val="00ED36E6"/>
    <w:rsid w:val="00ED491E"/>
    <w:rsid w:val="00ED557F"/>
    <w:rsid w:val="00ED5DF1"/>
    <w:rsid w:val="00ED75F3"/>
    <w:rsid w:val="00EE05C2"/>
    <w:rsid w:val="00EE230D"/>
    <w:rsid w:val="00EE379E"/>
    <w:rsid w:val="00EE4F9F"/>
    <w:rsid w:val="00EE54AF"/>
    <w:rsid w:val="00EE681A"/>
    <w:rsid w:val="00EE6B1E"/>
    <w:rsid w:val="00EE6E6C"/>
    <w:rsid w:val="00EE6EF7"/>
    <w:rsid w:val="00EF4CFF"/>
    <w:rsid w:val="00EF5DF9"/>
    <w:rsid w:val="00EF5EA9"/>
    <w:rsid w:val="00EF7304"/>
    <w:rsid w:val="00F049F3"/>
    <w:rsid w:val="00F05792"/>
    <w:rsid w:val="00F05A57"/>
    <w:rsid w:val="00F1046F"/>
    <w:rsid w:val="00F106FC"/>
    <w:rsid w:val="00F12AAC"/>
    <w:rsid w:val="00F13401"/>
    <w:rsid w:val="00F1494F"/>
    <w:rsid w:val="00F20475"/>
    <w:rsid w:val="00F2277A"/>
    <w:rsid w:val="00F22FD6"/>
    <w:rsid w:val="00F2346E"/>
    <w:rsid w:val="00F2491F"/>
    <w:rsid w:val="00F30A81"/>
    <w:rsid w:val="00F30BA7"/>
    <w:rsid w:val="00F31D66"/>
    <w:rsid w:val="00F31D84"/>
    <w:rsid w:val="00F35C28"/>
    <w:rsid w:val="00F35CBF"/>
    <w:rsid w:val="00F37549"/>
    <w:rsid w:val="00F430CC"/>
    <w:rsid w:val="00F46761"/>
    <w:rsid w:val="00F46A04"/>
    <w:rsid w:val="00F47202"/>
    <w:rsid w:val="00F47F0B"/>
    <w:rsid w:val="00F51902"/>
    <w:rsid w:val="00F55064"/>
    <w:rsid w:val="00F56317"/>
    <w:rsid w:val="00F56682"/>
    <w:rsid w:val="00F57692"/>
    <w:rsid w:val="00F576CD"/>
    <w:rsid w:val="00F60B44"/>
    <w:rsid w:val="00F60DE6"/>
    <w:rsid w:val="00F61957"/>
    <w:rsid w:val="00F61A7B"/>
    <w:rsid w:val="00F635CC"/>
    <w:rsid w:val="00F63E38"/>
    <w:rsid w:val="00F6402C"/>
    <w:rsid w:val="00F64BCB"/>
    <w:rsid w:val="00F672F3"/>
    <w:rsid w:val="00F70973"/>
    <w:rsid w:val="00F715C2"/>
    <w:rsid w:val="00F72E80"/>
    <w:rsid w:val="00F72FFF"/>
    <w:rsid w:val="00F735EE"/>
    <w:rsid w:val="00F74A82"/>
    <w:rsid w:val="00F80BD3"/>
    <w:rsid w:val="00F81081"/>
    <w:rsid w:val="00F823E2"/>
    <w:rsid w:val="00F8313B"/>
    <w:rsid w:val="00F84640"/>
    <w:rsid w:val="00F874E9"/>
    <w:rsid w:val="00F87D27"/>
    <w:rsid w:val="00F87DAE"/>
    <w:rsid w:val="00F9090B"/>
    <w:rsid w:val="00F90B5F"/>
    <w:rsid w:val="00F90D5A"/>
    <w:rsid w:val="00F94C79"/>
    <w:rsid w:val="00F9551F"/>
    <w:rsid w:val="00F9723F"/>
    <w:rsid w:val="00F97DA8"/>
    <w:rsid w:val="00FA14C5"/>
    <w:rsid w:val="00FA214C"/>
    <w:rsid w:val="00FA3E93"/>
    <w:rsid w:val="00FA5B5A"/>
    <w:rsid w:val="00FA5D25"/>
    <w:rsid w:val="00FA6A5B"/>
    <w:rsid w:val="00FB03B6"/>
    <w:rsid w:val="00FB2008"/>
    <w:rsid w:val="00FB2AC4"/>
    <w:rsid w:val="00FB2FD5"/>
    <w:rsid w:val="00FB4985"/>
    <w:rsid w:val="00FB4B0D"/>
    <w:rsid w:val="00FB4E3C"/>
    <w:rsid w:val="00FB5250"/>
    <w:rsid w:val="00FB5C9E"/>
    <w:rsid w:val="00FB6333"/>
    <w:rsid w:val="00FB67A2"/>
    <w:rsid w:val="00FB7566"/>
    <w:rsid w:val="00FC0437"/>
    <w:rsid w:val="00FC11BC"/>
    <w:rsid w:val="00FC1C97"/>
    <w:rsid w:val="00FC21B1"/>
    <w:rsid w:val="00FC7910"/>
    <w:rsid w:val="00FD1969"/>
    <w:rsid w:val="00FD1C0D"/>
    <w:rsid w:val="00FD6100"/>
    <w:rsid w:val="00FD7392"/>
    <w:rsid w:val="00FE1373"/>
    <w:rsid w:val="00FE1AB4"/>
    <w:rsid w:val="00FE1C3B"/>
    <w:rsid w:val="00FE32C8"/>
    <w:rsid w:val="00FE351F"/>
    <w:rsid w:val="00FE3E14"/>
    <w:rsid w:val="00FE5F6E"/>
    <w:rsid w:val="00FF19B6"/>
    <w:rsid w:val="00FF291D"/>
    <w:rsid w:val="00FF358A"/>
    <w:rsid w:val="00FF658B"/>
    <w:rsid w:val="00FF65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6418">
      <o:colormenu v:ext="edit" fillcolor="none" stroke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72F"/>
    <w:pPr>
      <w:spacing w:after="200" w:line="276" w:lineRule="auto"/>
    </w:pPr>
    <w:rPr>
      <w:rFonts w:eastAsia="Times New Roman"/>
      <w:sz w:val="22"/>
      <w:szCs w:val="22"/>
      <w:lang w:eastAsia="zh-CN"/>
    </w:rPr>
  </w:style>
  <w:style w:type="paragraph" w:styleId="Heading1">
    <w:name w:val="heading 1"/>
    <w:basedOn w:val="Normal"/>
    <w:next w:val="Normal"/>
    <w:link w:val="Heading1Char"/>
    <w:uiPriority w:val="9"/>
    <w:qFormat/>
    <w:rsid w:val="00EA0E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67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ListParagraph"/>
    <w:link w:val="Heading3Char"/>
    <w:autoRedefine/>
    <w:qFormat/>
    <w:rsid w:val="00663422"/>
    <w:pPr>
      <w:outlineLvl w:val="2"/>
    </w:pPr>
    <w:rPr>
      <w:rFonts w:ascii="Times New Roman" w:hAnsi="Times New Roman"/>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osal">
    <w:name w:val="proposal"/>
    <w:basedOn w:val="Normal"/>
    <w:link w:val="proposalChar"/>
    <w:rsid w:val="00263613"/>
    <w:pPr>
      <w:spacing w:after="0" w:line="240" w:lineRule="auto"/>
    </w:pPr>
    <w:rPr>
      <w:rFonts w:ascii="Times New Roman" w:hAnsi="Times New Roman"/>
      <w:szCs w:val="20"/>
      <w:lang w:eastAsia="en-US"/>
    </w:rPr>
  </w:style>
  <w:style w:type="character" w:customStyle="1" w:styleId="proposalChar">
    <w:name w:val="proposal Char"/>
    <w:basedOn w:val="DefaultParagraphFont"/>
    <w:link w:val="proposal"/>
    <w:rsid w:val="00263613"/>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63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613"/>
    <w:rPr>
      <w:rFonts w:ascii="Tahoma" w:eastAsia="Times New Roman" w:hAnsi="Tahoma" w:cs="Tahoma"/>
      <w:sz w:val="16"/>
      <w:szCs w:val="16"/>
      <w:lang w:eastAsia="zh-CN"/>
    </w:rPr>
  </w:style>
  <w:style w:type="paragraph" w:styleId="Header">
    <w:name w:val="header"/>
    <w:aliases w:val="*Header,Header Char Char Char Char,Header Char Char Char,Header Char Char,h,Header/Footer,header odd,Hyphen,header,*Header1,*Header2,*Header3,*Header11,*Header21,*Header4,*Header12,*Header22,(1st level)"/>
    <w:basedOn w:val="Normal"/>
    <w:link w:val="HeaderChar"/>
    <w:unhideWhenUsed/>
    <w:rsid w:val="00670155"/>
    <w:pPr>
      <w:tabs>
        <w:tab w:val="center" w:pos="4680"/>
        <w:tab w:val="right" w:pos="9360"/>
      </w:tabs>
      <w:spacing w:after="0" w:line="240" w:lineRule="auto"/>
    </w:pPr>
  </w:style>
  <w:style w:type="character" w:customStyle="1" w:styleId="HeaderChar">
    <w:name w:val="Header Char"/>
    <w:aliases w:val="*Header Char,Header Char Char Char Char Char,Header Char Char Char Char1,Header Char Char Char1,h Char,Header/Footer Char,header odd Char,Hyphen Char,header Char,*Header1 Char,*Header2 Char,*Header3 Char,*Header11 Char,*Header21 Char"/>
    <w:basedOn w:val="DefaultParagraphFont"/>
    <w:link w:val="Header"/>
    <w:uiPriority w:val="99"/>
    <w:rsid w:val="00670155"/>
    <w:rPr>
      <w:rFonts w:eastAsia="Times New Roman"/>
      <w:sz w:val="22"/>
      <w:szCs w:val="22"/>
      <w:lang w:eastAsia="zh-CN"/>
    </w:rPr>
  </w:style>
  <w:style w:type="paragraph" w:styleId="Footer">
    <w:name w:val="footer"/>
    <w:basedOn w:val="Normal"/>
    <w:link w:val="FooterChar"/>
    <w:uiPriority w:val="99"/>
    <w:unhideWhenUsed/>
    <w:rsid w:val="00670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155"/>
    <w:rPr>
      <w:rFonts w:eastAsia="Times New Roman"/>
      <w:sz w:val="22"/>
      <w:szCs w:val="22"/>
      <w:lang w:eastAsia="zh-CN"/>
    </w:rPr>
  </w:style>
  <w:style w:type="table" w:styleId="TableGrid">
    <w:name w:val="Table Grid"/>
    <w:basedOn w:val="TableNormal"/>
    <w:uiPriority w:val="59"/>
    <w:rsid w:val="00AE0E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3DB9"/>
    <w:rPr>
      <w:color w:val="0000FF" w:themeColor="hyperlink"/>
      <w:u w:val="single"/>
    </w:rPr>
  </w:style>
  <w:style w:type="character" w:styleId="CommentReference">
    <w:name w:val="annotation reference"/>
    <w:basedOn w:val="DefaultParagraphFont"/>
    <w:uiPriority w:val="99"/>
    <w:semiHidden/>
    <w:unhideWhenUsed/>
    <w:rsid w:val="00BC3884"/>
    <w:rPr>
      <w:sz w:val="16"/>
      <w:szCs w:val="16"/>
    </w:rPr>
  </w:style>
  <w:style w:type="paragraph" w:styleId="CommentText">
    <w:name w:val="annotation text"/>
    <w:basedOn w:val="Normal"/>
    <w:link w:val="CommentTextChar"/>
    <w:uiPriority w:val="99"/>
    <w:semiHidden/>
    <w:unhideWhenUsed/>
    <w:rsid w:val="00BC3884"/>
    <w:pPr>
      <w:spacing w:line="240" w:lineRule="auto"/>
    </w:pPr>
    <w:rPr>
      <w:sz w:val="20"/>
      <w:szCs w:val="20"/>
    </w:rPr>
  </w:style>
  <w:style w:type="character" w:customStyle="1" w:styleId="CommentTextChar">
    <w:name w:val="Comment Text Char"/>
    <w:basedOn w:val="DefaultParagraphFont"/>
    <w:link w:val="CommentText"/>
    <w:uiPriority w:val="99"/>
    <w:semiHidden/>
    <w:rsid w:val="00BC3884"/>
    <w:rPr>
      <w:rFonts w:eastAsia="Times New Roman"/>
      <w:lang w:eastAsia="zh-CN"/>
    </w:rPr>
  </w:style>
  <w:style w:type="paragraph" w:styleId="CommentSubject">
    <w:name w:val="annotation subject"/>
    <w:basedOn w:val="CommentText"/>
    <w:next w:val="CommentText"/>
    <w:link w:val="CommentSubjectChar"/>
    <w:uiPriority w:val="99"/>
    <w:semiHidden/>
    <w:unhideWhenUsed/>
    <w:rsid w:val="00BC3884"/>
    <w:rPr>
      <w:b/>
      <w:bCs/>
    </w:rPr>
  </w:style>
  <w:style w:type="character" w:customStyle="1" w:styleId="CommentSubjectChar">
    <w:name w:val="Comment Subject Char"/>
    <w:basedOn w:val="CommentTextChar"/>
    <w:link w:val="CommentSubject"/>
    <w:uiPriority w:val="99"/>
    <w:semiHidden/>
    <w:rsid w:val="00BC3884"/>
    <w:rPr>
      <w:rFonts w:eastAsia="Times New Roman"/>
      <w:b/>
      <w:bCs/>
      <w:lang w:eastAsia="zh-CN"/>
    </w:rPr>
  </w:style>
  <w:style w:type="paragraph" w:styleId="ListParagraph">
    <w:name w:val="List Paragraph"/>
    <w:basedOn w:val="Normal"/>
    <w:link w:val="ListParagraphChar"/>
    <w:uiPriority w:val="34"/>
    <w:qFormat/>
    <w:rsid w:val="00C96AF5"/>
    <w:pPr>
      <w:ind w:left="720"/>
      <w:contextualSpacing/>
    </w:pPr>
  </w:style>
  <w:style w:type="character" w:customStyle="1" w:styleId="apple-style-span">
    <w:name w:val="apple-style-span"/>
    <w:basedOn w:val="DefaultParagraphFont"/>
    <w:rsid w:val="00DD25EF"/>
  </w:style>
  <w:style w:type="character" w:customStyle="1" w:styleId="apple-converted-space">
    <w:name w:val="apple-converted-space"/>
    <w:basedOn w:val="DefaultParagraphFont"/>
    <w:rsid w:val="00DD25EF"/>
  </w:style>
  <w:style w:type="character" w:styleId="Strong">
    <w:name w:val="Strong"/>
    <w:basedOn w:val="DefaultParagraphFont"/>
    <w:uiPriority w:val="22"/>
    <w:qFormat/>
    <w:rsid w:val="00DD25EF"/>
    <w:rPr>
      <w:b/>
      <w:bCs/>
    </w:rPr>
  </w:style>
  <w:style w:type="character" w:customStyle="1" w:styleId="ListParagraphChar">
    <w:name w:val="List Paragraph Char"/>
    <w:basedOn w:val="DefaultParagraphFont"/>
    <w:link w:val="ListParagraph"/>
    <w:uiPriority w:val="34"/>
    <w:locked/>
    <w:rsid w:val="004D0087"/>
    <w:rPr>
      <w:rFonts w:eastAsia="Times New Roman"/>
      <w:sz w:val="22"/>
      <w:szCs w:val="22"/>
      <w:lang w:eastAsia="zh-CN"/>
    </w:rPr>
  </w:style>
  <w:style w:type="paragraph" w:customStyle="1" w:styleId="Body">
    <w:name w:val="Body"/>
    <w:basedOn w:val="Normal"/>
    <w:link w:val="BodyChar"/>
    <w:uiPriority w:val="99"/>
    <w:rsid w:val="004D0087"/>
    <w:pPr>
      <w:spacing w:before="120" w:after="120" w:line="240" w:lineRule="auto"/>
      <w:ind w:left="720"/>
      <w:jc w:val="both"/>
    </w:pPr>
    <w:rPr>
      <w:rFonts w:ascii="Arial" w:hAnsi="Arial"/>
      <w:sz w:val="24"/>
      <w:szCs w:val="24"/>
      <w:lang w:eastAsia="en-US"/>
    </w:rPr>
  </w:style>
  <w:style w:type="character" w:customStyle="1" w:styleId="BodyChar">
    <w:name w:val="Body Char"/>
    <w:link w:val="Body"/>
    <w:uiPriority w:val="99"/>
    <w:locked/>
    <w:rsid w:val="004D0087"/>
    <w:rPr>
      <w:rFonts w:ascii="Arial" w:eastAsia="Times New Roman" w:hAnsi="Arial"/>
      <w:sz w:val="24"/>
      <w:szCs w:val="24"/>
    </w:rPr>
  </w:style>
  <w:style w:type="character" w:customStyle="1" w:styleId="Heading3Char">
    <w:name w:val="Heading 3 Char"/>
    <w:basedOn w:val="DefaultParagraphFont"/>
    <w:link w:val="Heading3"/>
    <w:rsid w:val="00663422"/>
    <w:rPr>
      <w:rFonts w:ascii="Times New Roman" w:eastAsia="Times New Roman" w:hAnsi="Times New Roman"/>
      <w:b/>
      <w:sz w:val="22"/>
      <w:szCs w:val="22"/>
    </w:rPr>
  </w:style>
  <w:style w:type="table" w:customStyle="1" w:styleId="MediumShading1-Accent11">
    <w:name w:val="Medium Shading 1 - Accent 11"/>
    <w:basedOn w:val="TableNormal"/>
    <w:uiPriority w:val="63"/>
    <w:rsid w:val="008567D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50070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0070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0070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1">
    <w:name w:val="Light List - Accent 11"/>
    <w:basedOn w:val="TableNormal"/>
    <w:uiPriority w:val="61"/>
    <w:rsid w:val="0050070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uiPriority w:val="66"/>
    <w:rsid w:val="0050070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3">
    <w:name w:val="Colorful List Accent 3"/>
    <w:basedOn w:val="TableNormal"/>
    <w:uiPriority w:val="72"/>
    <w:rsid w:val="0050070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Shading-Accent6">
    <w:name w:val="Colorful Shading Accent 6"/>
    <w:basedOn w:val="TableNormal"/>
    <w:uiPriority w:val="71"/>
    <w:rsid w:val="0050070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50070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DarkList1">
    <w:name w:val="Dark List1"/>
    <w:basedOn w:val="TableNormal"/>
    <w:uiPriority w:val="70"/>
    <w:rsid w:val="0050070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Shading1-Accent2">
    <w:name w:val="Medium Shading 1 Accent 2"/>
    <w:basedOn w:val="TableNormal"/>
    <w:uiPriority w:val="63"/>
    <w:rsid w:val="0050070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Default">
    <w:name w:val="Default"/>
    <w:rsid w:val="004E5C46"/>
    <w:pPr>
      <w:autoSpaceDE w:val="0"/>
      <w:autoSpaceDN w:val="0"/>
      <w:adjustRightInd w:val="0"/>
    </w:pPr>
    <w:rPr>
      <w:rFonts w:cs="Calibri"/>
      <w:color w:val="000000"/>
      <w:sz w:val="24"/>
      <w:szCs w:val="24"/>
    </w:rPr>
  </w:style>
  <w:style w:type="paragraph" w:styleId="NormalWeb">
    <w:name w:val="Normal (Web)"/>
    <w:basedOn w:val="Normal"/>
    <w:uiPriority w:val="99"/>
    <w:unhideWhenUsed/>
    <w:rsid w:val="0052486F"/>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5706E"/>
    <w:rPr>
      <w:i/>
      <w:iCs/>
    </w:rPr>
  </w:style>
  <w:style w:type="paragraph" w:styleId="FootnoteText">
    <w:name w:val="footnote text"/>
    <w:basedOn w:val="Normal"/>
    <w:link w:val="FootnoteTextChar"/>
    <w:uiPriority w:val="99"/>
    <w:unhideWhenUsed/>
    <w:rsid w:val="002E721F"/>
    <w:pPr>
      <w:spacing w:after="0" w:line="240" w:lineRule="auto"/>
    </w:pPr>
    <w:rPr>
      <w:sz w:val="20"/>
      <w:szCs w:val="20"/>
    </w:rPr>
  </w:style>
  <w:style w:type="character" w:customStyle="1" w:styleId="FootnoteTextChar">
    <w:name w:val="Footnote Text Char"/>
    <w:basedOn w:val="DefaultParagraphFont"/>
    <w:link w:val="FootnoteText"/>
    <w:uiPriority w:val="99"/>
    <w:rsid w:val="002E721F"/>
    <w:rPr>
      <w:rFonts w:eastAsia="Times New Roman"/>
      <w:lang w:eastAsia="zh-CN"/>
    </w:rPr>
  </w:style>
  <w:style w:type="character" w:styleId="FootnoteReference">
    <w:name w:val="footnote reference"/>
    <w:basedOn w:val="DefaultParagraphFont"/>
    <w:uiPriority w:val="99"/>
    <w:unhideWhenUsed/>
    <w:rsid w:val="002E721F"/>
    <w:rPr>
      <w:vertAlign w:val="superscript"/>
    </w:rPr>
  </w:style>
  <w:style w:type="character" w:styleId="FollowedHyperlink">
    <w:name w:val="FollowedHyperlink"/>
    <w:basedOn w:val="DefaultParagraphFont"/>
    <w:uiPriority w:val="99"/>
    <w:semiHidden/>
    <w:unhideWhenUsed/>
    <w:rsid w:val="00955468"/>
    <w:rPr>
      <w:color w:val="800080" w:themeColor="followedHyperlink"/>
      <w:u w:val="single"/>
    </w:rPr>
  </w:style>
  <w:style w:type="character" w:customStyle="1" w:styleId="Heading2Char">
    <w:name w:val="Heading 2 Char"/>
    <w:basedOn w:val="DefaultParagraphFont"/>
    <w:link w:val="Heading2"/>
    <w:uiPriority w:val="9"/>
    <w:rsid w:val="006D6769"/>
    <w:rPr>
      <w:rFonts w:asciiTheme="majorHAnsi" w:eastAsiaTheme="majorEastAsia" w:hAnsiTheme="majorHAnsi" w:cstheme="majorBidi"/>
      <w:b/>
      <w:bCs/>
      <w:color w:val="4F81BD" w:themeColor="accent1"/>
      <w:sz w:val="26"/>
      <w:szCs w:val="26"/>
      <w:lang w:eastAsia="zh-CN"/>
    </w:rPr>
  </w:style>
  <w:style w:type="character" w:customStyle="1" w:styleId="Heading1Char">
    <w:name w:val="Heading 1 Char"/>
    <w:basedOn w:val="DefaultParagraphFont"/>
    <w:link w:val="Heading1"/>
    <w:uiPriority w:val="9"/>
    <w:rsid w:val="00EA0EBA"/>
    <w:rPr>
      <w:rFonts w:asciiTheme="majorHAnsi" w:eastAsiaTheme="majorEastAsia" w:hAnsiTheme="majorHAnsi" w:cstheme="majorBidi"/>
      <w:b/>
      <w:bCs/>
      <w:color w:val="365F91" w:themeColor="accent1" w:themeShade="BF"/>
      <w:sz w:val="28"/>
      <w:szCs w:val="28"/>
      <w:lang w:eastAsia="zh-CN"/>
    </w:rPr>
  </w:style>
  <w:style w:type="paragraph" w:styleId="NoSpacing">
    <w:name w:val="No Spacing"/>
    <w:uiPriority w:val="1"/>
    <w:qFormat/>
    <w:rsid w:val="00B34418"/>
    <w:rPr>
      <w:sz w:val="22"/>
      <w:szCs w:val="22"/>
    </w:rPr>
  </w:style>
  <w:style w:type="paragraph" w:styleId="Revision">
    <w:name w:val="Revision"/>
    <w:hidden/>
    <w:uiPriority w:val="99"/>
    <w:semiHidden/>
    <w:rsid w:val="00B4254A"/>
    <w:rPr>
      <w:rFonts w:eastAsia="Times New Roman"/>
      <w:sz w:val="22"/>
      <w:szCs w:val="22"/>
      <w:lang w:eastAsia="zh-CN"/>
    </w:rPr>
  </w:style>
  <w:style w:type="character" w:customStyle="1" w:styleId="A7">
    <w:name w:val="A7"/>
    <w:uiPriority w:val="99"/>
    <w:rsid w:val="00331309"/>
    <w:rPr>
      <w:rFonts w:cs="Myriad Pro"/>
      <w:color w:val="000000"/>
      <w:sz w:val="11"/>
      <w:szCs w:val="11"/>
    </w:rPr>
  </w:style>
  <w:style w:type="character" w:customStyle="1" w:styleId="reference-text">
    <w:name w:val="reference-text"/>
    <w:basedOn w:val="DefaultParagraphFont"/>
    <w:rsid w:val="00D25E99"/>
  </w:style>
  <w:style w:type="paragraph" w:styleId="EndnoteText">
    <w:name w:val="endnote text"/>
    <w:basedOn w:val="Normal"/>
    <w:link w:val="EndnoteTextChar"/>
    <w:uiPriority w:val="99"/>
    <w:semiHidden/>
    <w:unhideWhenUsed/>
    <w:rsid w:val="004E3566"/>
    <w:pPr>
      <w:spacing w:after="0" w:line="240" w:lineRule="auto"/>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4E3566"/>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4E3566"/>
    <w:rPr>
      <w:vertAlign w:val="superscript"/>
    </w:rPr>
  </w:style>
  <w:style w:type="paragraph" w:customStyle="1" w:styleId="Pa10">
    <w:name w:val="Pa10"/>
    <w:basedOn w:val="Default"/>
    <w:next w:val="Default"/>
    <w:uiPriority w:val="99"/>
    <w:rsid w:val="00585A08"/>
    <w:pPr>
      <w:spacing w:line="241" w:lineRule="atLeast"/>
    </w:pPr>
    <w:rPr>
      <w:rFonts w:ascii="Minion Pro" w:hAnsi="Minion Pro"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55C"/>
    <w:pPr>
      <w:spacing w:after="200" w:line="276" w:lineRule="auto"/>
    </w:pPr>
    <w:rPr>
      <w:rFonts w:eastAsia="Times New Roman"/>
      <w:sz w:val="22"/>
      <w:szCs w:val="22"/>
      <w:lang w:eastAsia="zh-CN"/>
    </w:rPr>
  </w:style>
  <w:style w:type="paragraph" w:styleId="Heading1">
    <w:name w:val="heading 1"/>
    <w:basedOn w:val="Normal"/>
    <w:next w:val="Normal"/>
    <w:link w:val="Heading1Char"/>
    <w:uiPriority w:val="9"/>
    <w:qFormat/>
    <w:rsid w:val="00EA0E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67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ListParagraph"/>
    <w:link w:val="Heading3Char"/>
    <w:autoRedefine/>
    <w:qFormat/>
    <w:rsid w:val="00663422"/>
    <w:pPr>
      <w:outlineLvl w:val="2"/>
    </w:pPr>
    <w:rPr>
      <w:rFonts w:ascii="Times New Roman" w:hAnsi="Times New Roman"/>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osal">
    <w:name w:val="proposal"/>
    <w:basedOn w:val="Normal"/>
    <w:link w:val="proposalChar"/>
    <w:rsid w:val="00263613"/>
    <w:pPr>
      <w:spacing w:after="0" w:line="240" w:lineRule="auto"/>
    </w:pPr>
    <w:rPr>
      <w:rFonts w:ascii="Times New Roman" w:hAnsi="Times New Roman"/>
      <w:szCs w:val="20"/>
      <w:lang w:eastAsia="en-US"/>
    </w:rPr>
  </w:style>
  <w:style w:type="character" w:customStyle="1" w:styleId="proposalChar">
    <w:name w:val="proposal Char"/>
    <w:basedOn w:val="DefaultParagraphFont"/>
    <w:link w:val="proposal"/>
    <w:rsid w:val="00263613"/>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63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613"/>
    <w:rPr>
      <w:rFonts w:ascii="Tahoma" w:eastAsia="Times New Roman" w:hAnsi="Tahoma" w:cs="Tahoma"/>
      <w:sz w:val="16"/>
      <w:szCs w:val="16"/>
      <w:lang w:eastAsia="zh-CN"/>
    </w:rPr>
  </w:style>
  <w:style w:type="paragraph" w:styleId="Header">
    <w:name w:val="header"/>
    <w:aliases w:val="*Header,Header Char Char Char Char,Header Char Char Char,Header Char Char,h,Header/Footer,header odd,Hyphen,header,*Header1,*Header2,*Header3,*Header11,*Header21,*Header4,*Header12,*Header22,(1st level)"/>
    <w:basedOn w:val="Normal"/>
    <w:link w:val="HeaderChar"/>
    <w:unhideWhenUsed/>
    <w:rsid w:val="00670155"/>
    <w:pPr>
      <w:tabs>
        <w:tab w:val="center" w:pos="4680"/>
        <w:tab w:val="right" w:pos="9360"/>
      </w:tabs>
      <w:spacing w:after="0" w:line="240" w:lineRule="auto"/>
    </w:pPr>
  </w:style>
  <w:style w:type="character" w:customStyle="1" w:styleId="HeaderChar">
    <w:name w:val="Header Char"/>
    <w:aliases w:val="*Header Char,Header Char Char Char Char Char,Header Char Char Char Char1,Header Char Char Char1,h Char,Header/Footer Char,header odd Char,Hyphen Char,header Char,*Header1 Char,*Header2 Char,*Header3 Char,*Header11 Char,*Header21 Char"/>
    <w:basedOn w:val="DefaultParagraphFont"/>
    <w:link w:val="Header"/>
    <w:uiPriority w:val="99"/>
    <w:rsid w:val="00670155"/>
    <w:rPr>
      <w:rFonts w:eastAsia="Times New Roman"/>
      <w:sz w:val="22"/>
      <w:szCs w:val="22"/>
      <w:lang w:eastAsia="zh-CN"/>
    </w:rPr>
  </w:style>
  <w:style w:type="paragraph" w:styleId="Footer">
    <w:name w:val="footer"/>
    <w:basedOn w:val="Normal"/>
    <w:link w:val="FooterChar"/>
    <w:uiPriority w:val="99"/>
    <w:unhideWhenUsed/>
    <w:rsid w:val="00670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155"/>
    <w:rPr>
      <w:rFonts w:eastAsia="Times New Roman"/>
      <w:sz w:val="22"/>
      <w:szCs w:val="22"/>
      <w:lang w:eastAsia="zh-CN"/>
    </w:rPr>
  </w:style>
  <w:style w:type="table" w:styleId="TableGrid">
    <w:name w:val="Table Grid"/>
    <w:basedOn w:val="TableNormal"/>
    <w:uiPriority w:val="59"/>
    <w:rsid w:val="00AE0E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3DB9"/>
    <w:rPr>
      <w:color w:val="0000FF" w:themeColor="hyperlink"/>
      <w:u w:val="single"/>
    </w:rPr>
  </w:style>
  <w:style w:type="character" w:styleId="CommentReference">
    <w:name w:val="annotation reference"/>
    <w:basedOn w:val="DefaultParagraphFont"/>
    <w:uiPriority w:val="99"/>
    <w:semiHidden/>
    <w:unhideWhenUsed/>
    <w:rsid w:val="00BC3884"/>
    <w:rPr>
      <w:sz w:val="16"/>
      <w:szCs w:val="16"/>
    </w:rPr>
  </w:style>
  <w:style w:type="paragraph" w:styleId="CommentText">
    <w:name w:val="annotation text"/>
    <w:basedOn w:val="Normal"/>
    <w:link w:val="CommentTextChar"/>
    <w:uiPriority w:val="99"/>
    <w:semiHidden/>
    <w:unhideWhenUsed/>
    <w:rsid w:val="00BC3884"/>
    <w:pPr>
      <w:spacing w:line="240" w:lineRule="auto"/>
    </w:pPr>
    <w:rPr>
      <w:sz w:val="20"/>
      <w:szCs w:val="20"/>
    </w:rPr>
  </w:style>
  <w:style w:type="character" w:customStyle="1" w:styleId="CommentTextChar">
    <w:name w:val="Comment Text Char"/>
    <w:basedOn w:val="DefaultParagraphFont"/>
    <w:link w:val="CommentText"/>
    <w:uiPriority w:val="99"/>
    <w:semiHidden/>
    <w:rsid w:val="00BC3884"/>
    <w:rPr>
      <w:rFonts w:eastAsia="Times New Roman"/>
      <w:lang w:eastAsia="zh-CN"/>
    </w:rPr>
  </w:style>
  <w:style w:type="paragraph" w:styleId="CommentSubject">
    <w:name w:val="annotation subject"/>
    <w:basedOn w:val="CommentText"/>
    <w:next w:val="CommentText"/>
    <w:link w:val="CommentSubjectChar"/>
    <w:uiPriority w:val="99"/>
    <w:semiHidden/>
    <w:unhideWhenUsed/>
    <w:rsid w:val="00BC3884"/>
    <w:rPr>
      <w:b/>
      <w:bCs/>
    </w:rPr>
  </w:style>
  <w:style w:type="character" w:customStyle="1" w:styleId="CommentSubjectChar">
    <w:name w:val="Comment Subject Char"/>
    <w:basedOn w:val="CommentTextChar"/>
    <w:link w:val="CommentSubject"/>
    <w:uiPriority w:val="99"/>
    <w:semiHidden/>
    <w:rsid w:val="00BC3884"/>
    <w:rPr>
      <w:rFonts w:eastAsia="Times New Roman"/>
      <w:b/>
      <w:bCs/>
      <w:lang w:eastAsia="zh-CN"/>
    </w:rPr>
  </w:style>
  <w:style w:type="paragraph" w:styleId="ListParagraph">
    <w:name w:val="List Paragraph"/>
    <w:basedOn w:val="Normal"/>
    <w:link w:val="ListParagraphChar"/>
    <w:uiPriority w:val="34"/>
    <w:qFormat/>
    <w:rsid w:val="00C96AF5"/>
    <w:pPr>
      <w:ind w:left="720"/>
      <w:contextualSpacing/>
    </w:pPr>
  </w:style>
  <w:style w:type="character" w:customStyle="1" w:styleId="apple-style-span">
    <w:name w:val="apple-style-span"/>
    <w:basedOn w:val="DefaultParagraphFont"/>
    <w:rsid w:val="00DD25EF"/>
  </w:style>
  <w:style w:type="character" w:customStyle="1" w:styleId="apple-converted-space">
    <w:name w:val="apple-converted-space"/>
    <w:basedOn w:val="DefaultParagraphFont"/>
    <w:rsid w:val="00DD25EF"/>
  </w:style>
  <w:style w:type="character" w:styleId="Strong">
    <w:name w:val="Strong"/>
    <w:basedOn w:val="DefaultParagraphFont"/>
    <w:uiPriority w:val="22"/>
    <w:qFormat/>
    <w:rsid w:val="00DD25EF"/>
    <w:rPr>
      <w:b/>
      <w:bCs/>
    </w:rPr>
  </w:style>
  <w:style w:type="character" w:customStyle="1" w:styleId="ListParagraphChar">
    <w:name w:val="List Paragraph Char"/>
    <w:basedOn w:val="DefaultParagraphFont"/>
    <w:link w:val="ListParagraph"/>
    <w:uiPriority w:val="34"/>
    <w:locked/>
    <w:rsid w:val="004D0087"/>
    <w:rPr>
      <w:rFonts w:eastAsia="Times New Roman"/>
      <w:sz w:val="22"/>
      <w:szCs w:val="22"/>
      <w:lang w:eastAsia="zh-CN"/>
    </w:rPr>
  </w:style>
  <w:style w:type="paragraph" w:customStyle="1" w:styleId="Body">
    <w:name w:val="Body"/>
    <w:basedOn w:val="Normal"/>
    <w:link w:val="BodyChar"/>
    <w:uiPriority w:val="99"/>
    <w:rsid w:val="004D0087"/>
    <w:pPr>
      <w:spacing w:before="120" w:after="120" w:line="240" w:lineRule="auto"/>
      <w:ind w:left="720"/>
      <w:jc w:val="both"/>
    </w:pPr>
    <w:rPr>
      <w:rFonts w:ascii="Arial" w:hAnsi="Arial"/>
      <w:sz w:val="24"/>
      <w:szCs w:val="24"/>
      <w:lang w:eastAsia="en-US"/>
    </w:rPr>
  </w:style>
  <w:style w:type="character" w:customStyle="1" w:styleId="BodyChar">
    <w:name w:val="Body Char"/>
    <w:link w:val="Body"/>
    <w:uiPriority w:val="99"/>
    <w:locked/>
    <w:rsid w:val="004D0087"/>
    <w:rPr>
      <w:rFonts w:ascii="Arial" w:eastAsia="Times New Roman" w:hAnsi="Arial"/>
      <w:sz w:val="24"/>
      <w:szCs w:val="24"/>
    </w:rPr>
  </w:style>
  <w:style w:type="character" w:customStyle="1" w:styleId="Heading3Char">
    <w:name w:val="Heading 3 Char"/>
    <w:basedOn w:val="DefaultParagraphFont"/>
    <w:link w:val="Heading3"/>
    <w:rsid w:val="00663422"/>
    <w:rPr>
      <w:rFonts w:ascii="Times New Roman" w:eastAsia="Times New Roman" w:hAnsi="Times New Roman"/>
      <w:b/>
      <w:sz w:val="22"/>
      <w:szCs w:val="22"/>
    </w:rPr>
  </w:style>
  <w:style w:type="table" w:customStyle="1" w:styleId="MediumShading1-Accent11">
    <w:name w:val="Medium Shading 1 - Accent 11"/>
    <w:basedOn w:val="TableNormal"/>
    <w:uiPriority w:val="63"/>
    <w:rsid w:val="008567D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50070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0070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0070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1">
    <w:name w:val="Light List - Accent 11"/>
    <w:basedOn w:val="TableNormal"/>
    <w:uiPriority w:val="61"/>
    <w:rsid w:val="0050070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uiPriority w:val="66"/>
    <w:rsid w:val="0050070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3">
    <w:name w:val="Colorful List Accent 3"/>
    <w:basedOn w:val="TableNormal"/>
    <w:uiPriority w:val="72"/>
    <w:rsid w:val="0050070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Shading-Accent6">
    <w:name w:val="Colorful Shading Accent 6"/>
    <w:basedOn w:val="TableNormal"/>
    <w:uiPriority w:val="71"/>
    <w:rsid w:val="0050070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50070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DarkList1">
    <w:name w:val="Dark List1"/>
    <w:basedOn w:val="TableNormal"/>
    <w:uiPriority w:val="70"/>
    <w:rsid w:val="0050070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Shading1-Accent2">
    <w:name w:val="Medium Shading 1 Accent 2"/>
    <w:basedOn w:val="TableNormal"/>
    <w:uiPriority w:val="63"/>
    <w:rsid w:val="0050070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Default">
    <w:name w:val="Default"/>
    <w:rsid w:val="004E5C46"/>
    <w:pPr>
      <w:autoSpaceDE w:val="0"/>
      <w:autoSpaceDN w:val="0"/>
      <w:adjustRightInd w:val="0"/>
    </w:pPr>
    <w:rPr>
      <w:rFonts w:cs="Calibri"/>
      <w:color w:val="000000"/>
      <w:sz w:val="24"/>
      <w:szCs w:val="24"/>
    </w:rPr>
  </w:style>
  <w:style w:type="paragraph" w:styleId="NormalWeb">
    <w:name w:val="Normal (Web)"/>
    <w:basedOn w:val="Normal"/>
    <w:uiPriority w:val="99"/>
    <w:unhideWhenUsed/>
    <w:rsid w:val="0052486F"/>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5706E"/>
    <w:rPr>
      <w:i/>
      <w:iCs/>
    </w:rPr>
  </w:style>
  <w:style w:type="paragraph" w:styleId="FootnoteText">
    <w:name w:val="footnote text"/>
    <w:basedOn w:val="Normal"/>
    <w:link w:val="FootnoteTextChar"/>
    <w:uiPriority w:val="99"/>
    <w:unhideWhenUsed/>
    <w:rsid w:val="002E721F"/>
    <w:pPr>
      <w:spacing w:after="0" w:line="240" w:lineRule="auto"/>
    </w:pPr>
    <w:rPr>
      <w:sz w:val="20"/>
      <w:szCs w:val="20"/>
    </w:rPr>
  </w:style>
  <w:style w:type="character" w:customStyle="1" w:styleId="FootnoteTextChar">
    <w:name w:val="Footnote Text Char"/>
    <w:basedOn w:val="DefaultParagraphFont"/>
    <w:link w:val="FootnoteText"/>
    <w:uiPriority w:val="99"/>
    <w:rsid w:val="002E721F"/>
    <w:rPr>
      <w:rFonts w:eastAsia="Times New Roman"/>
      <w:lang w:eastAsia="zh-CN"/>
    </w:rPr>
  </w:style>
  <w:style w:type="character" w:styleId="FootnoteReference">
    <w:name w:val="footnote reference"/>
    <w:basedOn w:val="DefaultParagraphFont"/>
    <w:uiPriority w:val="99"/>
    <w:unhideWhenUsed/>
    <w:rsid w:val="002E721F"/>
    <w:rPr>
      <w:vertAlign w:val="superscript"/>
    </w:rPr>
  </w:style>
  <w:style w:type="character" w:styleId="FollowedHyperlink">
    <w:name w:val="FollowedHyperlink"/>
    <w:basedOn w:val="DefaultParagraphFont"/>
    <w:uiPriority w:val="99"/>
    <w:semiHidden/>
    <w:unhideWhenUsed/>
    <w:rsid w:val="00955468"/>
    <w:rPr>
      <w:color w:val="800080" w:themeColor="followedHyperlink"/>
      <w:u w:val="single"/>
    </w:rPr>
  </w:style>
  <w:style w:type="character" w:customStyle="1" w:styleId="Heading2Char">
    <w:name w:val="Heading 2 Char"/>
    <w:basedOn w:val="DefaultParagraphFont"/>
    <w:link w:val="Heading2"/>
    <w:uiPriority w:val="9"/>
    <w:rsid w:val="006D6769"/>
    <w:rPr>
      <w:rFonts w:asciiTheme="majorHAnsi" w:eastAsiaTheme="majorEastAsia" w:hAnsiTheme="majorHAnsi" w:cstheme="majorBidi"/>
      <w:b/>
      <w:bCs/>
      <w:color w:val="4F81BD" w:themeColor="accent1"/>
      <w:sz w:val="26"/>
      <w:szCs w:val="26"/>
      <w:lang w:eastAsia="zh-CN"/>
    </w:rPr>
  </w:style>
  <w:style w:type="character" w:customStyle="1" w:styleId="Heading1Char">
    <w:name w:val="Heading 1 Char"/>
    <w:basedOn w:val="DefaultParagraphFont"/>
    <w:link w:val="Heading1"/>
    <w:uiPriority w:val="9"/>
    <w:rsid w:val="00EA0EBA"/>
    <w:rPr>
      <w:rFonts w:asciiTheme="majorHAnsi" w:eastAsiaTheme="majorEastAsia" w:hAnsiTheme="majorHAnsi" w:cstheme="majorBidi"/>
      <w:b/>
      <w:bCs/>
      <w:color w:val="365F91" w:themeColor="accent1" w:themeShade="BF"/>
      <w:sz w:val="28"/>
      <w:szCs w:val="28"/>
      <w:lang w:eastAsia="zh-CN"/>
    </w:rPr>
  </w:style>
  <w:style w:type="paragraph" w:styleId="NoSpacing">
    <w:name w:val="No Spacing"/>
    <w:uiPriority w:val="1"/>
    <w:qFormat/>
    <w:rsid w:val="00B34418"/>
    <w:rPr>
      <w:sz w:val="22"/>
      <w:szCs w:val="22"/>
    </w:rPr>
  </w:style>
  <w:style w:type="paragraph" w:styleId="Revision">
    <w:name w:val="Revision"/>
    <w:hidden/>
    <w:uiPriority w:val="99"/>
    <w:semiHidden/>
    <w:rsid w:val="00B4254A"/>
    <w:rPr>
      <w:rFonts w:eastAsia="Times New Roman"/>
      <w:sz w:val="22"/>
      <w:szCs w:val="22"/>
      <w:lang w:eastAsia="zh-CN"/>
    </w:rPr>
  </w:style>
  <w:style w:type="character" w:customStyle="1" w:styleId="A7">
    <w:name w:val="A7"/>
    <w:uiPriority w:val="99"/>
    <w:rsid w:val="00331309"/>
    <w:rPr>
      <w:rFonts w:cs="Myriad Pro"/>
      <w:color w:val="000000"/>
      <w:sz w:val="11"/>
      <w:szCs w:val="11"/>
    </w:rPr>
  </w:style>
  <w:style w:type="character" w:customStyle="1" w:styleId="reference-text">
    <w:name w:val="reference-text"/>
    <w:basedOn w:val="DefaultParagraphFont"/>
    <w:rsid w:val="00D25E99"/>
  </w:style>
  <w:style w:type="paragraph" w:styleId="EndnoteText">
    <w:name w:val="endnote text"/>
    <w:basedOn w:val="Normal"/>
    <w:link w:val="EndnoteTextChar"/>
    <w:uiPriority w:val="99"/>
    <w:semiHidden/>
    <w:unhideWhenUsed/>
    <w:rsid w:val="004E3566"/>
    <w:pPr>
      <w:spacing w:after="0" w:line="240" w:lineRule="auto"/>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4E3566"/>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4E3566"/>
    <w:rPr>
      <w:vertAlign w:val="superscript"/>
    </w:rPr>
  </w:style>
  <w:style w:type="paragraph" w:customStyle="1" w:styleId="Pa10">
    <w:name w:val="Pa10"/>
    <w:basedOn w:val="Default"/>
    <w:next w:val="Default"/>
    <w:uiPriority w:val="99"/>
    <w:rsid w:val="00585A08"/>
    <w:pPr>
      <w:spacing w:line="241" w:lineRule="atLeast"/>
    </w:pPr>
    <w:rPr>
      <w:rFonts w:ascii="Minion Pro" w:hAnsi="Minion Pro" w:cs="Times New Roman"/>
      <w:color w:val="auto"/>
    </w:rPr>
  </w:style>
</w:styles>
</file>

<file path=word/webSettings.xml><?xml version="1.0" encoding="utf-8"?>
<w:webSettings xmlns:r="http://schemas.openxmlformats.org/officeDocument/2006/relationships" xmlns:w="http://schemas.openxmlformats.org/wordprocessingml/2006/main">
  <w:divs>
    <w:div w:id="18510291">
      <w:bodyDiv w:val="1"/>
      <w:marLeft w:val="0"/>
      <w:marRight w:val="0"/>
      <w:marTop w:val="0"/>
      <w:marBottom w:val="0"/>
      <w:divBdr>
        <w:top w:val="none" w:sz="0" w:space="0" w:color="auto"/>
        <w:left w:val="none" w:sz="0" w:space="0" w:color="auto"/>
        <w:bottom w:val="none" w:sz="0" w:space="0" w:color="auto"/>
        <w:right w:val="none" w:sz="0" w:space="0" w:color="auto"/>
      </w:divBdr>
    </w:div>
    <w:div w:id="18896371">
      <w:bodyDiv w:val="1"/>
      <w:marLeft w:val="0"/>
      <w:marRight w:val="0"/>
      <w:marTop w:val="0"/>
      <w:marBottom w:val="0"/>
      <w:divBdr>
        <w:top w:val="none" w:sz="0" w:space="0" w:color="auto"/>
        <w:left w:val="none" w:sz="0" w:space="0" w:color="auto"/>
        <w:bottom w:val="none" w:sz="0" w:space="0" w:color="auto"/>
        <w:right w:val="none" w:sz="0" w:space="0" w:color="auto"/>
      </w:divBdr>
    </w:div>
    <w:div w:id="34893439">
      <w:bodyDiv w:val="1"/>
      <w:marLeft w:val="0"/>
      <w:marRight w:val="0"/>
      <w:marTop w:val="0"/>
      <w:marBottom w:val="0"/>
      <w:divBdr>
        <w:top w:val="none" w:sz="0" w:space="0" w:color="auto"/>
        <w:left w:val="none" w:sz="0" w:space="0" w:color="auto"/>
        <w:bottom w:val="none" w:sz="0" w:space="0" w:color="auto"/>
        <w:right w:val="none" w:sz="0" w:space="0" w:color="auto"/>
      </w:divBdr>
    </w:div>
    <w:div w:id="42410503">
      <w:bodyDiv w:val="1"/>
      <w:marLeft w:val="0"/>
      <w:marRight w:val="0"/>
      <w:marTop w:val="0"/>
      <w:marBottom w:val="0"/>
      <w:divBdr>
        <w:top w:val="none" w:sz="0" w:space="0" w:color="auto"/>
        <w:left w:val="none" w:sz="0" w:space="0" w:color="auto"/>
        <w:bottom w:val="none" w:sz="0" w:space="0" w:color="auto"/>
        <w:right w:val="none" w:sz="0" w:space="0" w:color="auto"/>
      </w:divBdr>
    </w:div>
    <w:div w:id="47918164">
      <w:bodyDiv w:val="1"/>
      <w:marLeft w:val="0"/>
      <w:marRight w:val="0"/>
      <w:marTop w:val="0"/>
      <w:marBottom w:val="0"/>
      <w:divBdr>
        <w:top w:val="none" w:sz="0" w:space="0" w:color="auto"/>
        <w:left w:val="none" w:sz="0" w:space="0" w:color="auto"/>
        <w:bottom w:val="none" w:sz="0" w:space="0" w:color="auto"/>
        <w:right w:val="none" w:sz="0" w:space="0" w:color="auto"/>
      </w:divBdr>
    </w:div>
    <w:div w:id="54663013">
      <w:bodyDiv w:val="1"/>
      <w:marLeft w:val="0"/>
      <w:marRight w:val="0"/>
      <w:marTop w:val="0"/>
      <w:marBottom w:val="0"/>
      <w:divBdr>
        <w:top w:val="none" w:sz="0" w:space="0" w:color="auto"/>
        <w:left w:val="none" w:sz="0" w:space="0" w:color="auto"/>
        <w:bottom w:val="none" w:sz="0" w:space="0" w:color="auto"/>
        <w:right w:val="none" w:sz="0" w:space="0" w:color="auto"/>
      </w:divBdr>
    </w:div>
    <w:div w:id="56249905">
      <w:bodyDiv w:val="1"/>
      <w:marLeft w:val="0"/>
      <w:marRight w:val="0"/>
      <w:marTop w:val="0"/>
      <w:marBottom w:val="0"/>
      <w:divBdr>
        <w:top w:val="none" w:sz="0" w:space="0" w:color="auto"/>
        <w:left w:val="none" w:sz="0" w:space="0" w:color="auto"/>
        <w:bottom w:val="none" w:sz="0" w:space="0" w:color="auto"/>
        <w:right w:val="none" w:sz="0" w:space="0" w:color="auto"/>
      </w:divBdr>
    </w:div>
    <w:div w:id="57637496">
      <w:bodyDiv w:val="1"/>
      <w:marLeft w:val="0"/>
      <w:marRight w:val="0"/>
      <w:marTop w:val="0"/>
      <w:marBottom w:val="0"/>
      <w:divBdr>
        <w:top w:val="none" w:sz="0" w:space="0" w:color="auto"/>
        <w:left w:val="none" w:sz="0" w:space="0" w:color="auto"/>
        <w:bottom w:val="none" w:sz="0" w:space="0" w:color="auto"/>
        <w:right w:val="none" w:sz="0" w:space="0" w:color="auto"/>
      </w:divBdr>
    </w:div>
    <w:div w:id="70738067">
      <w:bodyDiv w:val="1"/>
      <w:marLeft w:val="0"/>
      <w:marRight w:val="0"/>
      <w:marTop w:val="0"/>
      <w:marBottom w:val="0"/>
      <w:divBdr>
        <w:top w:val="none" w:sz="0" w:space="0" w:color="auto"/>
        <w:left w:val="none" w:sz="0" w:space="0" w:color="auto"/>
        <w:bottom w:val="none" w:sz="0" w:space="0" w:color="auto"/>
        <w:right w:val="none" w:sz="0" w:space="0" w:color="auto"/>
      </w:divBdr>
    </w:div>
    <w:div w:id="78605943">
      <w:bodyDiv w:val="1"/>
      <w:marLeft w:val="0"/>
      <w:marRight w:val="0"/>
      <w:marTop w:val="0"/>
      <w:marBottom w:val="0"/>
      <w:divBdr>
        <w:top w:val="none" w:sz="0" w:space="0" w:color="auto"/>
        <w:left w:val="none" w:sz="0" w:space="0" w:color="auto"/>
        <w:bottom w:val="none" w:sz="0" w:space="0" w:color="auto"/>
        <w:right w:val="none" w:sz="0" w:space="0" w:color="auto"/>
      </w:divBdr>
    </w:div>
    <w:div w:id="84696514">
      <w:bodyDiv w:val="1"/>
      <w:marLeft w:val="0"/>
      <w:marRight w:val="0"/>
      <w:marTop w:val="0"/>
      <w:marBottom w:val="0"/>
      <w:divBdr>
        <w:top w:val="none" w:sz="0" w:space="0" w:color="auto"/>
        <w:left w:val="none" w:sz="0" w:space="0" w:color="auto"/>
        <w:bottom w:val="none" w:sz="0" w:space="0" w:color="auto"/>
        <w:right w:val="none" w:sz="0" w:space="0" w:color="auto"/>
      </w:divBdr>
    </w:div>
    <w:div w:id="85348784">
      <w:bodyDiv w:val="1"/>
      <w:marLeft w:val="0"/>
      <w:marRight w:val="0"/>
      <w:marTop w:val="0"/>
      <w:marBottom w:val="0"/>
      <w:divBdr>
        <w:top w:val="none" w:sz="0" w:space="0" w:color="auto"/>
        <w:left w:val="none" w:sz="0" w:space="0" w:color="auto"/>
        <w:bottom w:val="none" w:sz="0" w:space="0" w:color="auto"/>
        <w:right w:val="none" w:sz="0" w:space="0" w:color="auto"/>
      </w:divBdr>
    </w:div>
    <w:div w:id="90860827">
      <w:bodyDiv w:val="1"/>
      <w:marLeft w:val="0"/>
      <w:marRight w:val="0"/>
      <w:marTop w:val="0"/>
      <w:marBottom w:val="0"/>
      <w:divBdr>
        <w:top w:val="none" w:sz="0" w:space="0" w:color="auto"/>
        <w:left w:val="none" w:sz="0" w:space="0" w:color="auto"/>
        <w:bottom w:val="none" w:sz="0" w:space="0" w:color="auto"/>
        <w:right w:val="none" w:sz="0" w:space="0" w:color="auto"/>
      </w:divBdr>
    </w:div>
    <w:div w:id="93212350">
      <w:bodyDiv w:val="1"/>
      <w:marLeft w:val="0"/>
      <w:marRight w:val="0"/>
      <w:marTop w:val="0"/>
      <w:marBottom w:val="0"/>
      <w:divBdr>
        <w:top w:val="none" w:sz="0" w:space="0" w:color="auto"/>
        <w:left w:val="none" w:sz="0" w:space="0" w:color="auto"/>
        <w:bottom w:val="none" w:sz="0" w:space="0" w:color="auto"/>
        <w:right w:val="none" w:sz="0" w:space="0" w:color="auto"/>
      </w:divBdr>
    </w:div>
    <w:div w:id="95567536">
      <w:bodyDiv w:val="1"/>
      <w:marLeft w:val="0"/>
      <w:marRight w:val="0"/>
      <w:marTop w:val="0"/>
      <w:marBottom w:val="0"/>
      <w:divBdr>
        <w:top w:val="none" w:sz="0" w:space="0" w:color="auto"/>
        <w:left w:val="none" w:sz="0" w:space="0" w:color="auto"/>
        <w:bottom w:val="none" w:sz="0" w:space="0" w:color="auto"/>
        <w:right w:val="none" w:sz="0" w:space="0" w:color="auto"/>
      </w:divBdr>
    </w:div>
    <w:div w:id="105924666">
      <w:bodyDiv w:val="1"/>
      <w:marLeft w:val="0"/>
      <w:marRight w:val="0"/>
      <w:marTop w:val="0"/>
      <w:marBottom w:val="0"/>
      <w:divBdr>
        <w:top w:val="none" w:sz="0" w:space="0" w:color="auto"/>
        <w:left w:val="none" w:sz="0" w:space="0" w:color="auto"/>
        <w:bottom w:val="none" w:sz="0" w:space="0" w:color="auto"/>
        <w:right w:val="none" w:sz="0" w:space="0" w:color="auto"/>
      </w:divBdr>
    </w:div>
    <w:div w:id="110249568">
      <w:bodyDiv w:val="1"/>
      <w:marLeft w:val="0"/>
      <w:marRight w:val="0"/>
      <w:marTop w:val="0"/>
      <w:marBottom w:val="0"/>
      <w:divBdr>
        <w:top w:val="none" w:sz="0" w:space="0" w:color="auto"/>
        <w:left w:val="none" w:sz="0" w:space="0" w:color="auto"/>
        <w:bottom w:val="none" w:sz="0" w:space="0" w:color="auto"/>
        <w:right w:val="none" w:sz="0" w:space="0" w:color="auto"/>
      </w:divBdr>
    </w:div>
    <w:div w:id="116996450">
      <w:bodyDiv w:val="1"/>
      <w:marLeft w:val="0"/>
      <w:marRight w:val="0"/>
      <w:marTop w:val="0"/>
      <w:marBottom w:val="0"/>
      <w:divBdr>
        <w:top w:val="none" w:sz="0" w:space="0" w:color="auto"/>
        <w:left w:val="none" w:sz="0" w:space="0" w:color="auto"/>
        <w:bottom w:val="none" w:sz="0" w:space="0" w:color="auto"/>
        <w:right w:val="none" w:sz="0" w:space="0" w:color="auto"/>
      </w:divBdr>
    </w:div>
    <w:div w:id="124660934">
      <w:bodyDiv w:val="1"/>
      <w:marLeft w:val="0"/>
      <w:marRight w:val="0"/>
      <w:marTop w:val="0"/>
      <w:marBottom w:val="0"/>
      <w:divBdr>
        <w:top w:val="none" w:sz="0" w:space="0" w:color="auto"/>
        <w:left w:val="none" w:sz="0" w:space="0" w:color="auto"/>
        <w:bottom w:val="none" w:sz="0" w:space="0" w:color="auto"/>
        <w:right w:val="none" w:sz="0" w:space="0" w:color="auto"/>
      </w:divBdr>
    </w:div>
    <w:div w:id="129137236">
      <w:bodyDiv w:val="1"/>
      <w:marLeft w:val="0"/>
      <w:marRight w:val="0"/>
      <w:marTop w:val="0"/>
      <w:marBottom w:val="0"/>
      <w:divBdr>
        <w:top w:val="none" w:sz="0" w:space="0" w:color="auto"/>
        <w:left w:val="none" w:sz="0" w:space="0" w:color="auto"/>
        <w:bottom w:val="none" w:sz="0" w:space="0" w:color="auto"/>
        <w:right w:val="none" w:sz="0" w:space="0" w:color="auto"/>
      </w:divBdr>
    </w:div>
    <w:div w:id="135606978">
      <w:bodyDiv w:val="1"/>
      <w:marLeft w:val="0"/>
      <w:marRight w:val="0"/>
      <w:marTop w:val="0"/>
      <w:marBottom w:val="0"/>
      <w:divBdr>
        <w:top w:val="none" w:sz="0" w:space="0" w:color="auto"/>
        <w:left w:val="none" w:sz="0" w:space="0" w:color="auto"/>
        <w:bottom w:val="none" w:sz="0" w:space="0" w:color="auto"/>
        <w:right w:val="none" w:sz="0" w:space="0" w:color="auto"/>
      </w:divBdr>
    </w:div>
    <w:div w:id="136844551">
      <w:bodyDiv w:val="1"/>
      <w:marLeft w:val="0"/>
      <w:marRight w:val="0"/>
      <w:marTop w:val="0"/>
      <w:marBottom w:val="0"/>
      <w:divBdr>
        <w:top w:val="none" w:sz="0" w:space="0" w:color="auto"/>
        <w:left w:val="none" w:sz="0" w:space="0" w:color="auto"/>
        <w:bottom w:val="none" w:sz="0" w:space="0" w:color="auto"/>
        <w:right w:val="none" w:sz="0" w:space="0" w:color="auto"/>
      </w:divBdr>
    </w:div>
    <w:div w:id="139662669">
      <w:bodyDiv w:val="1"/>
      <w:marLeft w:val="0"/>
      <w:marRight w:val="0"/>
      <w:marTop w:val="0"/>
      <w:marBottom w:val="0"/>
      <w:divBdr>
        <w:top w:val="none" w:sz="0" w:space="0" w:color="auto"/>
        <w:left w:val="none" w:sz="0" w:space="0" w:color="auto"/>
        <w:bottom w:val="none" w:sz="0" w:space="0" w:color="auto"/>
        <w:right w:val="none" w:sz="0" w:space="0" w:color="auto"/>
      </w:divBdr>
    </w:div>
    <w:div w:id="155727666">
      <w:bodyDiv w:val="1"/>
      <w:marLeft w:val="0"/>
      <w:marRight w:val="0"/>
      <w:marTop w:val="0"/>
      <w:marBottom w:val="0"/>
      <w:divBdr>
        <w:top w:val="none" w:sz="0" w:space="0" w:color="auto"/>
        <w:left w:val="none" w:sz="0" w:space="0" w:color="auto"/>
        <w:bottom w:val="none" w:sz="0" w:space="0" w:color="auto"/>
        <w:right w:val="none" w:sz="0" w:space="0" w:color="auto"/>
      </w:divBdr>
    </w:div>
    <w:div w:id="192349851">
      <w:bodyDiv w:val="1"/>
      <w:marLeft w:val="0"/>
      <w:marRight w:val="0"/>
      <w:marTop w:val="0"/>
      <w:marBottom w:val="0"/>
      <w:divBdr>
        <w:top w:val="none" w:sz="0" w:space="0" w:color="auto"/>
        <w:left w:val="none" w:sz="0" w:space="0" w:color="auto"/>
        <w:bottom w:val="none" w:sz="0" w:space="0" w:color="auto"/>
        <w:right w:val="none" w:sz="0" w:space="0" w:color="auto"/>
      </w:divBdr>
    </w:div>
    <w:div w:id="192424981">
      <w:bodyDiv w:val="1"/>
      <w:marLeft w:val="0"/>
      <w:marRight w:val="0"/>
      <w:marTop w:val="0"/>
      <w:marBottom w:val="0"/>
      <w:divBdr>
        <w:top w:val="none" w:sz="0" w:space="0" w:color="auto"/>
        <w:left w:val="none" w:sz="0" w:space="0" w:color="auto"/>
        <w:bottom w:val="none" w:sz="0" w:space="0" w:color="auto"/>
        <w:right w:val="none" w:sz="0" w:space="0" w:color="auto"/>
      </w:divBdr>
    </w:div>
    <w:div w:id="195120026">
      <w:bodyDiv w:val="1"/>
      <w:marLeft w:val="0"/>
      <w:marRight w:val="0"/>
      <w:marTop w:val="0"/>
      <w:marBottom w:val="0"/>
      <w:divBdr>
        <w:top w:val="none" w:sz="0" w:space="0" w:color="auto"/>
        <w:left w:val="none" w:sz="0" w:space="0" w:color="auto"/>
        <w:bottom w:val="none" w:sz="0" w:space="0" w:color="auto"/>
        <w:right w:val="none" w:sz="0" w:space="0" w:color="auto"/>
      </w:divBdr>
    </w:div>
    <w:div w:id="209926144">
      <w:bodyDiv w:val="1"/>
      <w:marLeft w:val="0"/>
      <w:marRight w:val="0"/>
      <w:marTop w:val="0"/>
      <w:marBottom w:val="0"/>
      <w:divBdr>
        <w:top w:val="none" w:sz="0" w:space="0" w:color="auto"/>
        <w:left w:val="none" w:sz="0" w:space="0" w:color="auto"/>
        <w:bottom w:val="none" w:sz="0" w:space="0" w:color="auto"/>
        <w:right w:val="none" w:sz="0" w:space="0" w:color="auto"/>
      </w:divBdr>
    </w:div>
    <w:div w:id="212012313">
      <w:bodyDiv w:val="1"/>
      <w:marLeft w:val="0"/>
      <w:marRight w:val="0"/>
      <w:marTop w:val="0"/>
      <w:marBottom w:val="0"/>
      <w:divBdr>
        <w:top w:val="none" w:sz="0" w:space="0" w:color="auto"/>
        <w:left w:val="none" w:sz="0" w:space="0" w:color="auto"/>
        <w:bottom w:val="none" w:sz="0" w:space="0" w:color="auto"/>
        <w:right w:val="none" w:sz="0" w:space="0" w:color="auto"/>
      </w:divBdr>
    </w:div>
    <w:div w:id="214851277">
      <w:bodyDiv w:val="1"/>
      <w:marLeft w:val="0"/>
      <w:marRight w:val="0"/>
      <w:marTop w:val="0"/>
      <w:marBottom w:val="0"/>
      <w:divBdr>
        <w:top w:val="none" w:sz="0" w:space="0" w:color="auto"/>
        <w:left w:val="none" w:sz="0" w:space="0" w:color="auto"/>
        <w:bottom w:val="none" w:sz="0" w:space="0" w:color="auto"/>
        <w:right w:val="none" w:sz="0" w:space="0" w:color="auto"/>
      </w:divBdr>
    </w:div>
    <w:div w:id="217907714">
      <w:bodyDiv w:val="1"/>
      <w:marLeft w:val="0"/>
      <w:marRight w:val="0"/>
      <w:marTop w:val="0"/>
      <w:marBottom w:val="0"/>
      <w:divBdr>
        <w:top w:val="none" w:sz="0" w:space="0" w:color="auto"/>
        <w:left w:val="none" w:sz="0" w:space="0" w:color="auto"/>
        <w:bottom w:val="none" w:sz="0" w:space="0" w:color="auto"/>
        <w:right w:val="none" w:sz="0" w:space="0" w:color="auto"/>
      </w:divBdr>
    </w:div>
    <w:div w:id="222301792">
      <w:bodyDiv w:val="1"/>
      <w:marLeft w:val="0"/>
      <w:marRight w:val="0"/>
      <w:marTop w:val="0"/>
      <w:marBottom w:val="0"/>
      <w:divBdr>
        <w:top w:val="none" w:sz="0" w:space="0" w:color="auto"/>
        <w:left w:val="none" w:sz="0" w:space="0" w:color="auto"/>
        <w:bottom w:val="none" w:sz="0" w:space="0" w:color="auto"/>
        <w:right w:val="none" w:sz="0" w:space="0" w:color="auto"/>
      </w:divBdr>
    </w:div>
    <w:div w:id="226454224">
      <w:bodyDiv w:val="1"/>
      <w:marLeft w:val="0"/>
      <w:marRight w:val="0"/>
      <w:marTop w:val="0"/>
      <w:marBottom w:val="0"/>
      <w:divBdr>
        <w:top w:val="none" w:sz="0" w:space="0" w:color="auto"/>
        <w:left w:val="none" w:sz="0" w:space="0" w:color="auto"/>
        <w:bottom w:val="none" w:sz="0" w:space="0" w:color="auto"/>
        <w:right w:val="none" w:sz="0" w:space="0" w:color="auto"/>
      </w:divBdr>
    </w:div>
    <w:div w:id="231434289">
      <w:bodyDiv w:val="1"/>
      <w:marLeft w:val="0"/>
      <w:marRight w:val="0"/>
      <w:marTop w:val="0"/>
      <w:marBottom w:val="0"/>
      <w:divBdr>
        <w:top w:val="none" w:sz="0" w:space="0" w:color="auto"/>
        <w:left w:val="none" w:sz="0" w:space="0" w:color="auto"/>
        <w:bottom w:val="none" w:sz="0" w:space="0" w:color="auto"/>
        <w:right w:val="none" w:sz="0" w:space="0" w:color="auto"/>
      </w:divBdr>
    </w:div>
    <w:div w:id="239142615">
      <w:bodyDiv w:val="1"/>
      <w:marLeft w:val="0"/>
      <w:marRight w:val="0"/>
      <w:marTop w:val="0"/>
      <w:marBottom w:val="0"/>
      <w:divBdr>
        <w:top w:val="none" w:sz="0" w:space="0" w:color="auto"/>
        <w:left w:val="none" w:sz="0" w:space="0" w:color="auto"/>
        <w:bottom w:val="none" w:sz="0" w:space="0" w:color="auto"/>
        <w:right w:val="none" w:sz="0" w:space="0" w:color="auto"/>
      </w:divBdr>
    </w:div>
    <w:div w:id="245459821">
      <w:bodyDiv w:val="1"/>
      <w:marLeft w:val="0"/>
      <w:marRight w:val="0"/>
      <w:marTop w:val="0"/>
      <w:marBottom w:val="0"/>
      <w:divBdr>
        <w:top w:val="none" w:sz="0" w:space="0" w:color="auto"/>
        <w:left w:val="none" w:sz="0" w:space="0" w:color="auto"/>
        <w:bottom w:val="none" w:sz="0" w:space="0" w:color="auto"/>
        <w:right w:val="none" w:sz="0" w:space="0" w:color="auto"/>
      </w:divBdr>
    </w:div>
    <w:div w:id="249628204">
      <w:bodyDiv w:val="1"/>
      <w:marLeft w:val="0"/>
      <w:marRight w:val="0"/>
      <w:marTop w:val="0"/>
      <w:marBottom w:val="0"/>
      <w:divBdr>
        <w:top w:val="none" w:sz="0" w:space="0" w:color="auto"/>
        <w:left w:val="none" w:sz="0" w:space="0" w:color="auto"/>
        <w:bottom w:val="none" w:sz="0" w:space="0" w:color="auto"/>
        <w:right w:val="none" w:sz="0" w:space="0" w:color="auto"/>
      </w:divBdr>
    </w:div>
    <w:div w:id="251860624">
      <w:bodyDiv w:val="1"/>
      <w:marLeft w:val="0"/>
      <w:marRight w:val="0"/>
      <w:marTop w:val="0"/>
      <w:marBottom w:val="0"/>
      <w:divBdr>
        <w:top w:val="none" w:sz="0" w:space="0" w:color="auto"/>
        <w:left w:val="none" w:sz="0" w:space="0" w:color="auto"/>
        <w:bottom w:val="none" w:sz="0" w:space="0" w:color="auto"/>
        <w:right w:val="none" w:sz="0" w:space="0" w:color="auto"/>
      </w:divBdr>
    </w:div>
    <w:div w:id="269165562">
      <w:bodyDiv w:val="1"/>
      <w:marLeft w:val="0"/>
      <w:marRight w:val="0"/>
      <w:marTop w:val="0"/>
      <w:marBottom w:val="0"/>
      <w:divBdr>
        <w:top w:val="none" w:sz="0" w:space="0" w:color="auto"/>
        <w:left w:val="none" w:sz="0" w:space="0" w:color="auto"/>
        <w:bottom w:val="none" w:sz="0" w:space="0" w:color="auto"/>
        <w:right w:val="none" w:sz="0" w:space="0" w:color="auto"/>
      </w:divBdr>
    </w:div>
    <w:div w:id="269895682">
      <w:bodyDiv w:val="1"/>
      <w:marLeft w:val="0"/>
      <w:marRight w:val="0"/>
      <w:marTop w:val="0"/>
      <w:marBottom w:val="0"/>
      <w:divBdr>
        <w:top w:val="none" w:sz="0" w:space="0" w:color="auto"/>
        <w:left w:val="none" w:sz="0" w:space="0" w:color="auto"/>
        <w:bottom w:val="none" w:sz="0" w:space="0" w:color="auto"/>
        <w:right w:val="none" w:sz="0" w:space="0" w:color="auto"/>
      </w:divBdr>
    </w:div>
    <w:div w:id="272443260">
      <w:bodyDiv w:val="1"/>
      <w:marLeft w:val="0"/>
      <w:marRight w:val="0"/>
      <w:marTop w:val="0"/>
      <w:marBottom w:val="0"/>
      <w:divBdr>
        <w:top w:val="none" w:sz="0" w:space="0" w:color="auto"/>
        <w:left w:val="none" w:sz="0" w:space="0" w:color="auto"/>
        <w:bottom w:val="none" w:sz="0" w:space="0" w:color="auto"/>
        <w:right w:val="none" w:sz="0" w:space="0" w:color="auto"/>
      </w:divBdr>
    </w:div>
    <w:div w:id="279923217">
      <w:bodyDiv w:val="1"/>
      <w:marLeft w:val="0"/>
      <w:marRight w:val="0"/>
      <w:marTop w:val="0"/>
      <w:marBottom w:val="0"/>
      <w:divBdr>
        <w:top w:val="none" w:sz="0" w:space="0" w:color="auto"/>
        <w:left w:val="none" w:sz="0" w:space="0" w:color="auto"/>
        <w:bottom w:val="none" w:sz="0" w:space="0" w:color="auto"/>
        <w:right w:val="none" w:sz="0" w:space="0" w:color="auto"/>
      </w:divBdr>
    </w:div>
    <w:div w:id="287711032">
      <w:bodyDiv w:val="1"/>
      <w:marLeft w:val="0"/>
      <w:marRight w:val="0"/>
      <w:marTop w:val="0"/>
      <w:marBottom w:val="0"/>
      <w:divBdr>
        <w:top w:val="none" w:sz="0" w:space="0" w:color="auto"/>
        <w:left w:val="none" w:sz="0" w:space="0" w:color="auto"/>
        <w:bottom w:val="none" w:sz="0" w:space="0" w:color="auto"/>
        <w:right w:val="none" w:sz="0" w:space="0" w:color="auto"/>
      </w:divBdr>
    </w:div>
    <w:div w:id="289287089">
      <w:bodyDiv w:val="1"/>
      <w:marLeft w:val="0"/>
      <w:marRight w:val="0"/>
      <w:marTop w:val="0"/>
      <w:marBottom w:val="0"/>
      <w:divBdr>
        <w:top w:val="none" w:sz="0" w:space="0" w:color="auto"/>
        <w:left w:val="none" w:sz="0" w:space="0" w:color="auto"/>
        <w:bottom w:val="none" w:sz="0" w:space="0" w:color="auto"/>
        <w:right w:val="none" w:sz="0" w:space="0" w:color="auto"/>
      </w:divBdr>
    </w:div>
    <w:div w:id="304283737">
      <w:bodyDiv w:val="1"/>
      <w:marLeft w:val="0"/>
      <w:marRight w:val="0"/>
      <w:marTop w:val="0"/>
      <w:marBottom w:val="0"/>
      <w:divBdr>
        <w:top w:val="none" w:sz="0" w:space="0" w:color="auto"/>
        <w:left w:val="none" w:sz="0" w:space="0" w:color="auto"/>
        <w:bottom w:val="none" w:sz="0" w:space="0" w:color="auto"/>
        <w:right w:val="none" w:sz="0" w:space="0" w:color="auto"/>
      </w:divBdr>
    </w:div>
    <w:div w:id="307444039">
      <w:bodyDiv w:val="1"/>
      <w:marLeft w:val="0"/>
      <w:marRight w:val="0"/>
      <w:marTop w:val="0"/>
      <w:marBottom w:val="0"/>
      <w:divBdr>
        <w:top w:val="none" w:sz="0" w:space="0" w:color="auto"/>
        <w:left w:val="none" w:sz="0" w:space="0" w:color="auto"/>
        <w:bottom w:val="none" w:sz="0" w:space="0" w:color="auto"/>
        <w:right w:val="none" w:sz="0" w:space="0" w:color="auto"/>
      </w:divBdr>
    </w:div>
    <w:div w:id="312417335">
      <w:bodyDiv w:val="1"/>
      <w:marLeft w:val="0"/>
      <w:marRight w:val="0"/>
      <w:marTop w:val="0"/>
      <w:marBottom w:val="0"/>
      <w:divBdr>
        <w:top w:val="none" w:sz="0" w:space="0" w:color="auto"/>
        <w:left w:val="none" w:sz="0" w:space="0" w:color="auto"/>
        <w:bottom w:val="none" w:sz="0" w:space="0" w:color="auto"/>
        <w:right w:val="none" w:sz="0" w:space="0" w:color="auto"/>
      </w:divBdr>
      <w:divsChild>
        <w:div w:id="1110931201">
          <w:marLeft w:val="0"/>
          <w:marRight w:val="0"/>
          <w:marTop w:val="0"/>
          <w:marBottom w:val="0"/>
          <w:divBdr>
            <w:top w:val="none" w:sz="0" w:space="0" w:color="auto"/>
            <w:left w:val="none" w:sz="0" w:space="0" w:color="auto"/>
            <w:bottom w:val="none" w:sz="0" w:space="0" w:color="auto"/>
            <w:right w:val="none" w:sz="0" w:space="0" w:color="auto"/>
          </w:divBdr>
          <w:divsChild>
            <w:div w:id="1317956607">
              <w:marLeft w:val="0"/>
              <w:marRight w:val="0"/>
              <w:marTop w:val="0"/>
              <w:marBottom w:val="0"/>
              <w:divBdr>
                <w:top w:val="none" w:sz="0" w:space="0" w:color="auto"/>
                <w:left w:val="none" w:sz="0" w:space="0" w:color="auto"/>
                <w:bottom w:val="none" w:sz="0" w:space="0" w:color="auto"/>
                <w:right w:val="none" w:sz="0" w:space="0" w:color="auto"/>
              </w:divBdr>
              <w:divsChild>
                <w:div w:id="680164773">
                  <w:marLeft w:val="0"/>
                  <w:marRight w:val="0"/>
                  <w:marTop w:val="0"/>
                  <w:marBottom w:val="0"/>
                  <w:divBdr>
                    <w:top w:val="dotted" w:sz="6" w:space="8" w:color="999999"/>
                    <w:left w:val="dotted" w:sz="6" w:space="8" w:color="999999"/>
                    <w:bottom w:val="dotted" w:sz="6" w:space="8" w:color="999999"/>
                    <w:right w:val="dotted" w:sz="6" w:space="8" w:color="999999"/>
                  </w:divBdr>
                  <w:divsChild>
                    <w:div w:id="1746490452">
                      <w:marLeft w:val="0"/>
                      <w:marRight w:val="0"/>
                      <w:marTop w:val="0"/>
                      <w:marBottom w:val="0"/>
                      <w:divBdr>
                        <w:top w:val="dotted" w:sz="6" w:space="0" w:color="A9D26A"/>
                        <w:left w:val="dotted" w:sz="6" w:space="0" w:color="A9D26A"/>
                        <w:bottom w:val="dotted" w:sz="6" w:space="0" w:color="A9D26A"/>
                        <w:right w:val="dotted" w:sz="6" w:space="0" w:color="A9D26A"/>
                      </w:divBdr>
                      <w:divsChild>
                        <w:div w:id="105462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344710">
      <w:bodyDiv w:val="1"/>
      <w:marLeft w:val="0"/>
      <w:marRight w:val="0"/>
      <w:marTop w:val="0"/>
      <w:marBottom w:val="0"/>
      <w:divBdr>
        <w:top w:val="none" w:sz="0" w:space="0" w:color="auto"/>
        <w:left w:val="none" w:sz="0" w:space="0" w:color="auto"/>
        <w:bottom w:val="none" w:sz="0" w:space="0" w:color="auto"/>
        <w:right w:val="none" w:sz="0" w:space="0" w:color="auto"/>
      </w:divBdr>
    </w:div>
    <w:div w:id="335232391">
      <w:bodyDiv w:val="1"/>
      <w:marLeft w:val="0"/>
      <w:marRight w:val="0"/>
      <w:marTop w:val="0"/>
      <w:marBottom w:val="0"/>
      <w:divBdr>
        <w:top w:val="none" w:sz="0" w:space="0" w:color="auto"/>
        <w:left w:val="none" w:sz="0" w:space="0" w:color="auto"/>
        <w:bottom w:val="none" w:sz="0" w:space="0" w:color="auto"/>
        <w:right w:val="none" w:sz="0" w:space="0" w:color="auto"/>
      </w:divBdr>
    </w:div>
    <w:div w:id="337390973">
      <w:bodyDiv w:val="1"/>
      <w:marLeft w:val="0"/>
      <w:marRight w:val="0"/>
      <w:marTop w:val="0"/>
      <w:marBottom w:val="0"/>
      <w:divBdr>
        <w:top w:val="none" w:sz="0" w:space="0" w:color="auto"/>
        <w:left w:val="none" w:sz="0" w:space="0" w:color="auto"/>
        <w:bottom w:val="none" w:sz="0" w:space="0" w:color="auto"/>
        <w:right w:val="none" w:sz="0" w:space="0" w:color="auto"/>
      </w:divBdr>
    </w:div>
    <w:div w:id="338123955">
      <w:bodyDiv w:val="1"/>
      <w:marLeft w:val="0"/>
      <w:marRight w:val="0"/>
      <w:marTop w:val="0"/>
      <w:marBottom w:val="0"/>
      <w:divBdr>
        <w:top w:val="none" w:sz="0" w:space="0" w:color="auto"/>
        <w:left w:val="none" w:sz="0" w:space="0" w:color="auto"/>
        <w:bottom w:val="none" w:sz="0" w:space="0" w:color="auto"/>
        <w:right w:val="none" w:sz="0" w:space="0" w:color="auto"/>
      </w:divBdr>
    </w:div>
    <w:div w:id="339240082">
      <w:bodyDiv w:val="1"/>
      <w:marLeft w:val="0"/>
      <w:marRight w:val="0"/>
      <w:marTop w:val="0"/>
      <w:marBottom w:val="0"/>
      <w:divBdr>
        <w:top w:val="none" w:sz="0" w:space="0" w:color="auto"/>
        <w:left w:val="none" w:sz="0" w:space="0" w:color="auto"/>
        <w:bottom w:val="none" w:sz="0" w:space="0" w:color="auto"/>
        <w:right w:val="none" w:sz="0" w:space="0" w:color="auto"/>
      </w:divBdr>
    </w:div>
    <w:div w:id="342630523">
      <w:bodyDiv w:val="1"/>
      <w:marLeft w:val="0"/>
      <w:marRight w:val="0"/>
      <w:marTop w:val="0"/>
      <w:marBottom w:val="0"/>
      <w:divBdr>
        <w:top w:val="none" w:sz="0" w:space="0" w:color="auto"/>
        <w:left w:val="none" w:sz="0" w:space="0" w:color="auto"/>
        <w:bottom w:val="none" w:sz="0" w:space="0" w:color="auto"/>
        <w:right w:val="none" w:sz="0" w:space="0" w:color="auto"/>
      </w:divBdr>
    </w:div>
    <w:div w:id="342974841">
      <w:bodyDiv w:val="1"/>
      <w:marLeft w:val="0"/>
      <w:marRight w:val="0"/>
      <w:marTop w:val="0"/>
      <w:marBottom w:val="0"/>
      <w:divBdr>
        <w:top w:val="none" w:sz="0" w:space="0" w:color="auto"/>
        <w:left w:val="none" w:sz="0" w:space="0" w:color="auto"/>
        <w:bottom w:val="none" w:sz="0" w:space="0" w:color="auto"/>
        <w:right w:val="none" w:sz="0" w:space="0" w:color="auto"/>
      </w:divBdr>
    </w:div>
    <w:div w:id="343366864">
      <w:bodyDiv w:val="1"/>
      <w:marLeft w:val="0"/>
      <w:marRight w:val="0"/>
      <w:marTop w:val="0"/>
      <w:marBottom w:val="0"/>
      <w:divBdr>
        <w:top w:val="none" w:sz="0" w:space="0" w:color="auto"/>
        <w:left w:val="none" w:sz="0" w:space="0" w:color="auto"/>
        <w:bottom w:val="none" w:sz="0" w:space="0" w:color="auto"/>
        <w:right w:val="none" w:sz="0" w:space="0" w:color="auto"/>
      </w:divBdr>
    </w:div>
    <w:div w:id="344677635">
      <w:bodyDiv w:val="1"/>
      <w:marLeft w:val="0"/>
      <w:marRight w:val="0"/>
      <w:marTop w:val="0"/>
      <w:marBottom w:val="0"/>
      <w:divBdr>
        <w:top w:val="none" w:sz="0" w:space="0" w:color="auto"/>
        <w:left w:val="none" w:sz="0" w:space="0" w:color="auto"/>
        <w:bottom w:val="none" w:sz="0" w:space="0" w:color="auto"/>
        <w:right w:val="none" w:sz="0" w:space="0" w:color="auto"/>
      </w:divBdr>
    </w:div>
    <w:div w:id="345713012">
      <w:bodyDiv w:val="1"/>
      <w:marLeft w:val="0"/>
      <w:marRight w:val="0"/>
      <w:marTop w:val="0"/>
      <w:marBottom w:val="0"/>
      <w:divBdr>
        <w:top w:val="none" w:sz="0" w:space="0" w:color="auto"/>
        <w:left w:val="none" w:sz="0" w:space="0" w:color="auto"/>
        <w:bottom w:val="none" w:sz="0" w:space="0" w:color="auto"/>
        <w:right w:val="none" w:sz="0" w:space="0" w:color="auto"/>
      </w:divBdr>
    </w:div>
    <w:div w:id="348216175">
      <w:bodyDiv w:val="1"/>
      <w:marLeft w:val="0"/>
      <w:marRight w:val="0"/>
      <w:marTop w:val="0"/>
      <w:marBottom w:val="0"/>
      <w:divBdr>
        <w:top w:val="none" w:sz="0" w:space="0" w:color="auto"/>
        <w:left w:val="none" w:sz="0" w:space="0" w:color="auto"/>
        <w:bottom w:val="none" w:sz="0" w:space="0" w:color="auto"/>
        <w:right w:val="none" w:sz="0" w:space="0" w:color="auto"/>
      </w:divBdr>
    </w:div>
    <w:div w:id="386270227">
      <w:bodyDiv w:val="1"/>
      <w:marLeft w:val="0"/>
      <w:marRight w:val="0"/>
      <w:marTop w:val="0"/>
      <w:marBottom w:val="0"/>
      <w:divBdr>
        <w:top w:val="none" w:sz="0" w:space="0" w:color="auto"/>
        <w:left w:val="none" w:sz="0" w:space="0" w:color="auto"/>
        <w:bottom w:val="none" w:sz="0" w:space="0" w:color="auto"/>
        <w:right w:val="none" w:sz="0" w:space="0" w:color="auto"/>
      </w:divBdr>
    </w:div>
    <w:div w:id="396367373">
      <w:bodyDiv w:val="1"/>
      <w:marLeft w:val="0"/>
      <w:marRight w:val="0"/>
      <w:marTop w:val="0"/>
      <w:marBottom w:val="0"/>
      <w:divBdr>
        <w:top w:val="none" w:sz="0" w:space="0" w:color="auto"/>
        <w:left w:val="none" w:sz="0" w:space="0" w:color="auto"/>
        <w:bottom w:val="none" w:sz="0" w:space="0" w:color="auto"/>
        <w:right w:val="none" w:sz="0" w:space="0" w:color="auto"/>
      </w:divBdr>
    </w:div>
    <w:div w:id="411270844">
      <w:bodyDiv w:val="1"/>
      <w:marLeft w:val="0"/>
      <w:marRight w:val="0"/>
      <w:marTop w:val="0"/>
      <w:marBottom w:val="0"/>
      <w:divBdr>
        <w:top w:val="none" w:sz="0" w:space="0" w:color="auto"/>
        <w:left w:val="none" w:sz="0" w:space="0" w:color="auto"/>
        <w:bottom w:val="none" w:sz="0" w:space="0" w:color="auto"/>
        <w:right w:val="none" w:sz="0" w:space="0" w:color="auto"/>
      </w:divBdr>
    </w:div>
    <w:div w:id="415131493">
      <w:bodyDiv w:val="1"/>
      <w:marLeft w:val="0"/>
      <w:marRight w:val="0"/>
      <w:marTop w:val="0"/>
      <w:marBottom w:val="0"/>
      <w:divBdr>
        <w:top w:val="none" w:sz="0" w:space="0" w:color="auto"/>
        <w:left w:val="none" w:sz="0" w:space="0" w:color="auto"/>
        <w:bottom w:val="none" w:sz="0" w:space="0" w:color="auto"/>
        <w:right w:val="none" w:sz="0" w:space="0" w:color="auto"/>
      </w:divBdr>
    </w:div>
    <w:div w:id="418256832">
      <w:bodyDiv w:val="1"/>
      <w:marLeft w:val="0"/>
      <w:marRight w:val="0"/>
      <w:marTop w:val="0"/>
      <w:marBottom w:val="0"/>
      <w:divBdr>
        <w:top w:val="none" w:sz="0" w:space="0" w:color="auto"/>
        <w:left w:val="none" w:sz="0" w:space="0" w:color="auto"/>
        <w:bottom w:val="none" w:sz="0" w:space="0" w:color="auto"/>
        <w:right w:val="none" w:sz="0" w:space="0" w:color="auto"/>
      </w:divBdr>
    </w:div>
    <w:div w:id="428088650">
      <w:bodyDiv w:val="1"/>
      <w:marLeft w:val="0"/>
      <w:marRight w:val="0"/>
      <w:marTop w:val="0"/>
      <w:marBottom w:val="0"/>
      <w:divBdr>
        <w:top w:val="none" w:sz="0" w:space="0" w:color="auto"/>
        <w:left w:val="none" w:sz="0" w:space="0" w:color="auto"/>
        <w:bottom w:val="none" w:sz="0" w:space="0" w:color="auto"/>
        <w:right w:val="none" w:sz="0" w:space="0" w:color="auto"/>
      </w:divBdr>
    </w:div>
    <w:div w:id="428965179">
      <w:bodyDiv w:val="1"/>
      <w:marLeft w:val="0"/>
      <w:marRight w:val="0"/>
      <w:marTop w:val="0"/>
      <w:marBottom w:val="0"/>
      <w:divBdr>
        <w:top w:val="none" w:sz="0" w:space="0" w:color="auto"/>
        <w:left w:val="none" w:sz="0" w:space="0" w:color="auto"/>
        <w:bottom w:val="none" w:sz="0" w:space="0" w:color="auto"/>
        <w:right w:val="none" w:sz="0" w:space="0" w:color="auto"/>
      </w:divBdr>
    </w:div>
    <w:div w:id="432554553">
      <w:bodyDiv w:val="1"/>
      <w:marLeft w:val="0"/>
      <w:marRight w:val="0"/>
      <w:marTop w:val="0"/>
      <w:marBottom w:val="0"/>
      <w:divBdr>
        <w:top w:val="none" w:sz="0" w:space="0" w:color="auto"/>
        <w:left w:val="none" w:sz="0" w:space="0" w:color="auto"/>
        <w:bottom w:val="none" w:sz="0" w:space="0" w:color="auto"/>
        <w:right w:val="none" w:sz="0" w:space="0" w:color="auto"/>
      </w:divBdr>
    </w:div>
    <w:div w:id="435829990">
      <w:bodyDiv w:val="1"/>
      <w:marLeft w:val="0"/>
      <w:marRight w:val="0"/>
      <w:marTop w:val="0"/>
      <w:marBottom w:val="0"/>
      <w:divBdr>
        <w:top w:val="none" w:sz="0" w:space="0" w:color="auto"/>
        <w:left w:val="none" w:sz="0" w:space="0" w:color="auto"/>
        <w:bottom w:val="none" w:sz="0" w:space="0" w:color="auto"/>
        <w:right w:val="none" w:sz="0" w:space="0" w:color="auto"/>
      </w:divBdr>
    </w:div>
    <w:div w:id="452679229">
      <w:bodyDiv w:val="1"/>
      <w:marLeft w:val="0"/>
      <w:marRight w:val="0"/>
      <w:marTop w:val="0"/>
      <w:marBottom w:val="0"/>
      <w:divBdr>
        <w:top w:val="none" w:sz="0" w:space="0" w:color="auto"/>
        <w:left w:val="none" w:sz="0" w:space="0" w:color="auto"/>
        <w:bottom w:val="none" w:sz="0" w:space="0" w:color="auto"/>
        <w:right w:val="none" w:sz="0" w:space="0" w:color="auto"/>
      </w:divBdr>
    </w:div>
    <w:div w:id="492794308">
      <w:bodyDiv w:val="1"/>
      <w:marLeft w:val="0"/>
      <w:marRight w:val="0"/>
      <w:marTop w:val="0"/>
      <w:marBottom w:val="0"/>
      <w:divBdr>
        <w:top w:val="none" w:sz="0" w:space="0" w:color="auto"/>
        <w:left w:val="none" w:sz="0" w:space="0" w:color="auto"/>
        <w:bottom w:val="none" w:sz="0" w:space="0" w:color="auto"/>
        <w:right w:val="none" w:sz="0" w:space="0" w:color="auto"/>
      </w:divBdr>
    </w:div>
    <w:div w:id="496727523">
      <w:bodyDiv w:val="1"/>
      <w:marLeft w:val="0"/>
      <w:marRight w:val="0"/>
      <w:marTop w:val="0"/>
      <w:marBottom w:val="0"/>
      <w:divBdr>
        <w:top w:val="none" w:sz="0" w:space="0" w:color="auto"/>
        <w:left w:val="none" w:sz="0" w:space="0" w:color="auto"/>
        <w:bottom w:val="none" w:sz="0" w:space="0" w:color="auto"/>
        <w:right w:val="none" w:sz="0" w:space="0" w:color="auto"/>
      </w:divBdr>
    </w:div>
    <w:div w:id="496841892">
      <w:bodyDiv w:val="1"/>
      <w:marLeft w:val="0"/>
      <w:marRight w:val="0"/>
      <w:marTop w:val="0"/>
      <w:marBottom w:val="0"/>
      <w:divBdr>
        <w:top w:val="none" w:sz="0" w:space="0" w:color="auto"/>
        <w:left w:val="none" w:sz="0" w:space="0" w:color="auto"/>
        <w:bottom w:val="none" w:sz="0" w:space="0" w:color="auto"/>
        <w:right w:val="none" w:sz="0" w:space="0" w:color="auto"/>
      </w:divBdr>
    </w:div>
    <w:div w:id="512887159">
      <w:bodyDiv w:val="1"/>
      <w:marLeft w:val="0"/>
      <w:marRight w:val="0"/>
      <w:marTop w:val="0"/>
      <w:marBottom w:val="0"/>
      <w:divBdr>
        <w:top w:val="none" w:sz="0" w:space="0" w:color="auto"/>
        <w:left w:val="none" w:sz="0" w:space="0" w:color="auto"/>
        <w:bottom w:val="none" w:sz="0" w:space="0" w:color="auto"/>
        <w:right w:val="none" w:sz="0" w:space="0" w:color="auto"/>
      </w:divBdr>
    </w:div>
    <w:div w:id="514853452">
      <w:bodyDiv w:val="1"/>
      <w:marLeft w:val="0"/>
      <w:marRight w:val="0"/>
      <w:marTop w:val="0"/>
      <w:marBottom w:val="0"/>
      <w:divBdr>
        <w:top w:val="none" w:sz="0" w:space="0" w:color="auto"/>
        <w:left w:val="none" w:sz="0" w:space="0" w:color="auto"/>
        <w:bottom w:val="none" w:sz="0" w:space="0" w:color="auto"/>
        <w:right w:val="none" w:sz="0" w:space="0" w:color="auto"/>
      </w:divBdr>
    </w:div>
    <w:div w:id="516777131">
      <w:bodyDiv w:val="1"/>
      <w:marLeft w:val="0"/>
      <w:marRight w:val="0"/>
      <w:marTop w:val="0"/>
      <w:marBottom w:val="0"/>
      <w:divBdr>
        <w:top w:val="none" w:sz="0" w:space="0" w:color="auto"/>
        <w:left w:val="none" w:sz="0" w:space="0" w:color="auto"/>
        <w:bottom w:val="none" w:sz="0" w:space="0" w:color="auto"/>
        <w:right w:val="none" w:sz="0" w:space="0" w:color="auto"/>
      </w:divBdr>
    </w:div>
    <w:div w:id="517429367">
      <w:bodyDiv w:val="1"/>
      <w:marLeft w:val="0"/>
      <w:marRight w:val="0"/>
      <w:marTop w:val="0"/>
      <w:marBottom w:val="0"/>
      <w:divBdr>
        <w:top w:val="none" w:sz="0" w:space="0" w:color="auto"/>
        <w:left w:val="none" w:sz="0" w:space="0" w:color="auto"/>
        <w:bottom w:val="none" w:sz="0" w:space="0" w:color="auto"/>
        <w:right w:val="none" w:sz="0" w:space="0" w:color="auto"/>
      </w:divBdr>
    </w:div>
    <w:div w:id="520511454">
      <w:bodyDiv w:val="1"/>
      <w:marLeft w:val="0"/>
      <w:marRight w:val="0"/>
      <w:marTop w:val="0"/>
      <w:marBottom w:val="0"/>
      <w:divBdr>
        <w:top w:val="none" w:sz="0" w:space="0" w:color="auto"/>
        <w:left w:val="none" w:sz="0" w:space="0" w:color="auto"/>
        <w:bottom w:val="none" w:sz="0" w:space="0" w:color="auto"/>
        <w:right w:val="none" w:sz="0" w:space="0" w:color="auto"/>
      </w:divBdr>
    </w:div>
    <w:div w:id="523829904">
      <w:bodyDiv w:val="1"/>
      <w:marLeft w:val="0"/>
      <w:marRight w:val="0"/>
      <w:marTop w:val="0"/>
      <w:marBottom w:val="0"/>
      <w:divBdr>
        <w:top w:val="none" w:sz="0" w:space="0" w:color="auto"/>
        <w:left w:val="none" w:sz="0" w:space="0" w:color="auto"/>
        <w:bottom w:val="none" w:sz="0" w:space="0" w:color="auto"/>
        <w:right w:val="none" w:sz="0" w:space="0" w:color="auto"/>
      </w:divBdr>
    </w:div>
    <w:div w:id="527642496">
      <w:bodyDiv w:val="1"/>
      <w:marLeft w:val="0"/>
      <w:marRight w:val="0"/>
      <w:marTop w:val="0"/>
      <w:marBottom w:val="0"/>
      <w:divBdr>
        <w:top w:val="none" w:sz="0" w:space="0" w:color="auto"/>
        <w:left w:val="none" w:sz="0" w:space="0" w:color="auto"/>
        <w:bottom w:val="none" w:sz="0" w:space="0" w:color="auto"/>
        <w:right w:val="none" w:sz="0" w:space="0" w:color="auto"/>
      </w:divBdr>
    </w:div>
    <w:div w:id="533419857">
      <w:bodyDiv w:val="1"/>
      <w:marLeft w:val="0"/>
      <w:marRight w:val="0"/>
      <w:marTop w:val="0"/>
      <w:marBottom w:val="0"/>
      <w:divBdr>
        <w:top w:val="none" w:sz="0" w:space="0" w:color="auto"/>
        <w:left w:val="none" w:sz="0" w:space="0" w:color="auto"/>
        <w:bottom w:val="none" w:sz="0" w:space="0" w:color="auto"/>
        <w:right w:val="none" w:sz="0" w:space="0" w:color="auto"/>
      </w:divBdr>
    </w:div>
    <w:div w:id="533540124">
      <w:bodyDiv w:val="1"/>
      <w:marLeft w:val="0"/>
      <w:marRight w:val="0"/>
      <w:marTop w:val="0"/>
      <w:marBottom w:val="0"/>
      <w:divBdr>
        <w:top w:val="none" w:sz="0" w:space="0" w:color="auto"/>
        <w:left w:val="none" w:sz="0" w:space="0" w:color="auto"/>
        <w:bottom w:val="none" w:sz="0" w:space="0" w:color="auto"/>
        <w:right w:val="none" w:sz="0" w:space="0" w:color="auto"/>
      </w:divBdr>
    </w:div>
    <w:div w:id="541015811">
      <w:bodyDiv w:val="1"/>
      <w:marLeft w:val="0"/>
      <w:marRight w:val="0"/>
      <w:marTop w:val="0"/>
      <w:marBottom w:val="0"/>
      <w:divBdr>
        <w:top w:val="none" w:sz="0" w:space="0" w:color="auto"/>
        <w:left w:val="none" w:sz="0" w:space="0" w:color="auto"/>
        <w:bottom w:val="none" w:sz="0" w:space="0" w:color="auto"/>
        <w:right w:val="none" w:sz="0" w:space="0" w:color="auto"/>
      </w:divBdr>
    </w:div>
    <w:div w:id="541554672">
      <w:bodyDiv w:val="1"/>
      <w:marLeft w:val="0"/>
      <w:marRight w:val="0"/>
      <w:marTop w:val="0"/>
      <w:marBottom w:val="0"/>
      <w:divBdr>
        <w:top w:val="none" w:sz="0" w:space="0" w:color="auto"/>
        <w:left w:val="none" w:sz="0" w:space="0" w:color="auto"/>
        <w:bottom w:val="none" w:sz="0" w:space="0" w:color="auto"/>
        <w:right w:val="none" w:sz="0" w:space="0" w:color="auto"/>
      </w:divBdr>
    </w:div>
    <w:div w:id="558250322">
      <w:bodyDiv w:val="1"/>
      <w:marLeft w:val="0"/>
      <w:marRight w:val="0"/>
      <w:marTop w:val="0"/>
      <w:marBottom w:val="0"/>
      <w:divBdr>
        <w:top w:val="none" w:sz="0" w:space="0" w:color="auto"/>
        <w:left w:val="none" w:sz="0" w:space="0" w:color="auto"/>
        <w:bottom w:val="none" w:sz="0" w:space="0" w:color="auto"/>
        <w:right w:val="none" w:sz="0" w:space="0" w:color="auto"/>
      </w:divBdr>
    </w:div>
    <w:div w:id="560752495">
      <w:bodyDiv w:val="1"/>
      <w:marLeft w:val="0"/>
      <w:marRight w:val="0"/>
      <w:marTop w:val="0"/>
      <w:marBottom w:val="0"/>
      <w:divBdr>
        <w:top w:val="none" w:sz="0" w:space="0" w:color="auto"/>
        <w:left w:val="none" w:sz="0" w:space="0" w:color="auto"/>
        <w:bottom w:val="none" w:sz="0" w:space="0" w:color="auto"/>
        <w:right w:val="none" w:sz="0" w:space="0" w:color="auto"/>
      </w:divBdr>
    </w:div>
    <w:div w:id="580988978">
      <w:bodyDiv w:val="1"/>
      <w:marLeft w:val="0"/>
      <w:marRight w:val="0"/>
      <w:marTop w:val="0"/>
      <w:marBottom w:val="0"/>
      <w:divBdr>
        <w:top w:val="none" w:sz="0" w:space="0" w:color="auto"/>
        <w:left w:val="none" w:sz="0" w:space="0" w:color="auto"/>
        <w:bottom w:val="none" w:sz="0" w:space="0" w:color="auto"/>
        <w:right w:val="none" w:sz="0" w:space="0" w:color="auto"/>
      </w:divBdr>
    </w:div>
    <w:div w:id="582370846">
      <w:bodyDiv w:val="1"/>
      <w:marLeft w:val="0"/>
      <w:marRight w:val="0"/>
      <w:marTop w:val="0"/>
      <w:marBottom w:val="0"/>
      <w:divBdr>
        <w:top w:val="none" w:sz="0" w:space="0" w:color="auto"/>
        <w:left w:val="none" w:sz="0" w:space="0" w:color="auto"/>
        <w:bottom w:val="none" w:sz="0" w:space="0" w:color="auto"/>
        <w:right w:val="none" w:sz="0" w:space="0" w:color="auto"/>
      </w:divBdr>
    </w:div>
    <w:div w:id="584925677">
      <w:bodyDiv w:val="1"/>
      <w:marLeft w:val="0"/>
      <w:marRight w:val="0"/>
      <w:marTop w:val="0"/>
      <w:marBottom w:val="0"/>
      <w:divBdr>
        <w:top w:val="none" w:sz="0" w:space="0" w:color="auto"/>
        <w:left w:val="none" w:sz="0" w:space="0" w:color="auto"/>
        <w:bottom w:val="none" w:sz="0" w:space="0" w:color="auto"/>
        <w:right w:val="none" w:sz="0" w:space="0" w:color="auto"/>
      </w:divBdr>
      <w:divsChild>
        <w:div w:id="526406047">
          <w:marLeft w:val="0"/>
          <w:marRight w:val="0"/>
          <w:marTop w:val="0"/>
          <w:marBottom w:val="0"/>
          <w:divBdr>
            <w:top w:val="single" w:sz="8" w:space="3" w:color="B5C4DF"/>
            <w:left w:val="none" w:sz="0" w:space="0" w:color="auto"/>
            <w:bottom w:val="none" w:sz="0" w:space="0" w:color="auto"/>
            <w:right w:val="none" w:sz="0" w:space="0" w:color="auto"/>
          </w:divBdr>
        </w:div>
        <w:div w:id="1317414061">
          <w:marLeft w:val="0"/>
          <w:marRight w:val="0"/>
          <w:marTop w:val="0"/>
          <w:marBottom w:val="0"/>
          <w:divBdr>
            <w:top w:val="none" w:sz="0" w:space="0" w:color="auto"/>
            <w:left w:val="none" w:sz="0" w:space="0" w:color="auto"/>
            <w:bottom w:val="none" w:sz="0" w:space="0" w:color="auto"/>
            <w:right w:val="none" w:sz="0" w:space="0" w:color="auto"/>
          </w:divBdr>
        </w:div>
      </w:divsChild>
    </w:div>
    <w:div w:id="585844477">
      <w:bodyDiv w:val="1"/>
      <w:marLeft w:val="0"/>
      <w:marRight w:val="0"/>
      <w:marTop w:val="0"/>
      <w:marBottom w:val="0"/>
      <w:divBdr>
        <w:top w:val="none" w:sz="0" w:space="0" w:color="auto"/>
        <w:left w:val="none" w:sz="0" w:space="0" w:color="auto"/>
        <w:bottom w:val="none" w:sz="0" w:space="0" w:color="auto"/>
        <w:right w:val="none" w:sz="0" w:space="0" w:color="auto"/>
      </w:divBdr>
    </w:div>
    <w:div w:id="591741154">
      <w:bodyDiv w:val="1"/>
      <w:marLeft w:val="0"/>
      <w:marRight w:val="0"/>
      <w:marTop w:val="0"/>
      <w:marBottom w:val="0"/>
      <w:divBdr>
        <w:top w:val="none" w:sz="0" w:space="0" w:color="auto"/>
        <w:left w:val="none" w:sz="0" w:space="0" w:color="auto"/>
        <w:bottom w:val="none" w:sz="0" w:space="0" w:color="auto"/>
        <w:right w:val="none" w:sz="0" w:space="0" w:color="auto"/>
      </w:divBdr>
    </w:div>
    <w:div w:id="604727517">
      <w:bodyDiv w:val="1"/>
      <w:marLeft w:val="0"/>
      <w:marRight w:val="0"/>
      <w:marTop w:val="0"/>
      <w:marBottom w:val="0"/>
      <w:divBdr>
        <w:top w:val="none" w:sz="0" w:space="0" w:color="auto"/>
        <w:left w:val="none" w:sz="0" w:space="0" w:color="auto"/>
        <w:bottom w:val="none" w:sz="0" w:space="0" w:color="auto"/>
        <w:right w:val="none" w:sz="0" w:space="0" w:color="auto"/>
      </w:divBdr>
    </w:div>
    <w:div w:id="608926445">
      <w:bodyDiv w:val="1"/>
      <w:marLeft w:val="0"/>
      <w:marRight w:val="0"/>
      <w:marTop w:val="0"/>
      <w:marBottom w:val="0"/>
      <w:divBdr>
        <w:top w:val="none" w:sz="0" w:space="0" w:color="auto"/>
        <w:left w:val="none" w:sz="0" w:space="0" w:color="auto"/>
        <w:bottom w:val="none" w:sz="0" w:space="0" w:color="auto"/>
        <w:right w:val="none" w:sz="0" w:space="0" w:color="auto"/>
      </w:divBdr>
    </w:div>
    <w:div w:id="611405463">
      <w:bodyDiv w:val="1"/>
      <w:marLeft w:val="0"/>
      <w:marRight w:val="0"/>
      <w:marTop w:val="0"/>
      <w:marBottom w:val="0"/>
      <w:divBdr>
        <w:top w:val="none" w:sz="0" w:space="0" w:color="auto"/>
        <w:left w:val="none" w:sz="0" w:space="0" w:color="auto"/>
        <w:bottom w:val="none" w:sz="0" w:space="0" w:color="auto"/>
        <w:right w:val="none" w:sz="0" w:space="0" w:color="auto"/>
      </w:divBdr>
    </w:div>
    <w:div w:id="624625645">
      <w:bodyDiv w:val="1"/>
      <w:marLeft w:val="0"/>
      <w:marRight w:val="0"/>
      <w:marTop w:val="0"/>
      <w:marBottom w:val="0"/>
      <w:divBdr>
        <w:top w:val="none" w:sz="0" w:space="0" w:color="auto"/>
        <w:left w:val="none" w:sz="0" w:space="0" w:color="auto"/>
        <w:bottom w:val="none" w:sz="0" w:space="0" w:color="auto"/>
        <w:right w:val="none" w:sz="0" w:space="0" w:color="auto"/>
      </w:divBdr>
    </w:div>
    <w:div w:id="625353034">
      <w:bodyDiv w:val="1"/>
      <w:marLeft w:val="0"/>
      <w:marRight w:val="0"/>
      <w:marTop w:val="0"/>
      <w:marBottom w:val="0"/>
      <w:divBdr>
        <w:top w:val="none" w:sz="0" w:space="0" w:color="auto"/>
        <w:left w:val="none" w:sz="0" w:space="0" w:color="auto"/>
        <w:bottom w:val="none" w:sz="0" w:space="0" w:color="auto"/>
        <w:right w:val="none" w:sz="0" w:space="0" w:color="auto"/>
      </w:divBdr>
    </w:div>
    <w:div w:id="629898898">
      <w:bodyDiv w:val="1"/>
      <w:marLeft w:val="0"/>
      <w:marRight w:val="0"/>
      <w:marTop w:val="0"/>
      <w:marBottom w:val="0"/>
      <w:divBdr>
        <w:top w:val="none" w:sz="0" w:space="0" w:color="auto"/>
        <w:left w:val="none" w:sz="0" w:space="0" w:color="auto"/>
        <w:bottom w:val="none" w:sz="0" w:space="0" w:color="auto"/>
        <w:right w:val="none" w:sz="0" w:space="0" w:color="auto"/>
      </w:divBdr>
    </w:div>
    <w:div w:id="644166503">
      <w:bodyDiv w:val="1"/>
      <w:marLeft w:val="0"/>
      <w:marRight w:val="0"/>
      <w:marTop w:val="0"/>
      <w:marBottom w:val="0"/>
      <w:divBdr>
        <w:top w:val="none" w:sz="0" w:space="0" w:color="auto"/>
        <w:left w:val="none" w:sz="0" w:space="0" w:color="auto"/>
        <w:bottom w:val="none" w:sz="0" w:space="0" w:color="auto"/>
        <w:right w:val="none" w:sz="0" w:space="0" w:color="auto"/>
      </w:divBdr>
    </w:div>
    <w:div w:id="653727164">
      <w:bodyDiv w:val="1"/>
      <w:marLeft w:val="0"/>
      <w:marRight w:val="0"/>
      <w:marTop w:val="0"/>
      <w:marBottom w:val="0"/>
      <w:divBdr>
        <w:top w:val="none" w:sz="0" w:space="0" w:color="auto"/>
        <w:left w:val="none" w:sz="0" w:space="0" w:color="auto"/>
        <w:bottom w:val="none" w:sz="0" w:space="0" w:color="auto"/>
        <w:right w:val="none" w:sz="0" w:space="0" w:color="auto"/>
      </w:divBdr>
    </w:div>
    <w:div w:id="664280515">
      <w:bodyDiv w:val="1"/>
      <w:marLeft w:val="0"/>
      <w:marRight w:val="0"/>
      <w:marTop w:val="0"/>
      <w:marBottom w:val="0"/>
      <w:divBdr>
        <w:top w:val="none" w:sz="0" w:space="0" w:color="auto"/>
        <w:left w:val="none" w:sz="0" w:space="0" w:color="auto"/>
        <w:bottom w:val="none" w:sz="0" w:space="0" w:color="auto"/>
        <w:right w:val="none" w:sz="0" w:space="0" w:color="auto"/>
      </w:divBdr>
    </w:div>
    <w:div w:id="667094057">
      <w:bodyDiv w:val="1"/>
      <w:marLeft w:val="0"/>
      <w:marRight w:val="0"/>
      <w:marTop w:val="0"/>
      <w:marBottom w:val="0"/>
      <w:divBdr>
        <w:top w:val="none" w:sz="0" w:space="0" w:color="auto"/>
        <w:left w:val="none" w:sz="0" w:space="0" w:color="auto"/>
        <w:bottom w:val="none" w:sz="0" w:space="0" w:color="auto"/>
        <w:right w:val="none" w:sz="0" w:space="0" w:color="auto"/>
      </w:divBdr>
    </w:div>
    <w:div w:id="667364788">
      <w:bodyDiv w:val="1"/>
      <w:marLeft w:val="0"/>
      <w:marRight w:val="0"/>
      <w:marTop w:val="0"/>
      <w:marBottom w:val="0"/>
      <w:divBdr>
        <w:top w:val="none" w:sz="0" w:space="0" w:color="auto"/>
        <w:left w:val="none" w:sz="0" w:space="0" w:color="auto"/>
        <w:bottom w:val="none" w:sz="0" w:space="0" w:color="auto"/>
        <w:right w:val="none" w:sz="0" w:space="0" w:color="auto"/>
      </w:divBdr>
    </w:div>
    <w:div w:id="671958096">
      <w:bodyDiv w:val="1"/>
      <w:marLeft w:val="0"/>
      <w:marRight w:val="0"/>
      <w:marTop w:val="0"/>
      <w:marBottom w:val="0"/>
      <w:divBdr>
        <w:top w:val="none" w:sz="0" w:space="0" w:color="auto"/>
        <w:left w:val="none" w:sz="0" w:space="0" w:color="auto"/>
        <w:bottom w:val="none" w:sz="0" w:space="0" w:color="auto"/>
        <w:right w:val="none" w:sz="0" w:space="0" w:color="auto"/>
      </w:divBdr>
    </w:div>
    <w:div w:id="673262115">
      <w:bodyDiv w:val="1"/>
      <w:marLeft w:val="0"/>
      <w:marRight w:val="0"/>
      <w:marTop w:val="0"/>
      <w:marBottom w:val="0"/>
      <w:divBdr>
        <w:top w:val="none" w:sz="0" w:space="0" w:color="auto"/>
        <w:left w:val="none" w:sz="0" w:space="0" w:color="auto"/>
        <w:bottom w:val="none" w:sz="0" w:space="0" w:color="auto"/>
        <w:right w:val="none" w:sz="0" w:space="0" w:color="auto"/>
      </w:divBdr>
    </w:div>
    <w:div w:id="684484013">
      <w:bodyDiv w:val="1"/>
      <w:marLeft w:val="0"/>
      <w:marRight w:val="0"/>
      <w:marTop w:val="0"/>
      <w:marBottom w:val="0"/>
      <w:divBdr>
        <w:top w:val="none" w:sz="0" w:space="0" w:color="auto"/>
        <w:left w:val="none" w:sz="0" w:space="0" w:color="auto"/>
        <w:bottom w:val="none" w:sz="0" w:space="0" w:color="auto"/>
        <w:right w:val="none" w:sz="0" w:space="0" w:color="auto"/>
      </w:divBdr>
    </w:div>
    <w:div w:id="686714193">
      <w:bodyDiv w:val="1"/>
      <w:marLeft w:val="0"/>
      <w:marRight w:val="0"/>
      <w:marTop w:val="0"/>
      <w:marBottom w:val="0"/>
      <w:divBdr>
        <w:top w:val="none" w:sz="0" w:space="0" w:color="auto"/>
        <w:left w:val="none" w:sz="0" w:space="0" w:color="auto"/>
        <w:bottom w:val="none" w:sz="0" w:space="0" w:color="auto"/>
        <w:right w:val="none" w:sz="0" w:space="0" w:color="auto"/>
      </w:divBdr>
    </w:div>
    <w:div w:id="690105627">
      <w:bodyDiv w:val="1"/>
      <w:marLeft w:val="0"/>
      <w:marRight w:val="0"/>
      <w:marTop w:val="0"/>
      <w:marBottom w:val="0"/>
      <w:divBdr>
        <w:top w:val="none" w:sz="0" w:space="0" w:color="auto"/>
        <w:left w:val="none" w:sz="0" w:space="0" w:color="auto"/>
        <w:bottom w:val="none" w:sz="0" w:space="0" w:color="auto"/>
        <w:right w:val="none" w:sz="0" w:space="0" w:color="auto"/>
      </w:divBdr>
    </w:div>
    <w:div w:id="691537632">
      <w:bodyDiv w:val="1"/>
      <w:marLeft w:val="0"/>
      <w:marRight w:val="0"/>
      <w:marTop w:val="0"/>
      <w:marBottom w:val="0"/>
      <w:divBdr>
        <w:top w:val="none" w:sz="0" w:space="0" w:color="auto"/>
        <w:left w:val="none" w:sz="0" w:space="0" w:color="auto"/>
        <w:bottom w:val="none" w:sz="0" w:space="0" w:color="auto"/>
        <w:right w:val="none" w:sz="0" w:space="0" w:color="auto"/>
      </w:divBdr>
    </w:div>
    <w:div w:id="701246824">
      <w:bodyDiv w:val="1"/>
      <w:marLeft w:val="0"/>
      <w:marRight w:val="0"/>
      <w:marTop w:val="0"/>
      <w:marBottom w:val="0"/>
      <w:divBdr>
        <w:top w:val="none" w:sz="0" w:space="0" w:color="auto"/>
        <w:left w:val="none" w:sz="0" w:space="0" w:color="auto"/>
        <w:bottom w:val="none" w:sz="0" w:space="0" w:color="auto"/>
        <w:right w:val="none" w:sz="0" w:space="0" w:color="auto"/>
      </w:divBdr>
    </w:div>
    <w:div w:id="712269030">
      <w:bodyDiv w:val="1"/>
      <w:marLeft w:val="0"/>
      <w:marRight w:val="0"/>
      <w:marTop w:val="0"/>
      <w:marBottom w:val="0"/>
      <w:divBdr>
        <w:top w:val="none" w:sz="0" w:space="0" w:color="auto"/>
        <w:left w:val="none" w:sz="0" w:space="0" w:color="auto"/>
        <w:bottom w:val="none" w:sz="0" w:space="0" w:color="auto"/>
        <w:right w:val="none" w:sz="0" w:space="0" w:color="auto"/>
      </w:divBdr>
    </w:div>
    <w:div w:id="720372450">
      <w:bodyDiv w:val="1"/>
      <w:marLeft w:val="0"/>
      <w:marRight w:val="0"/>
      <w:marTop w:val="0"/>
      <w:marBottom w:val="0"/>
      <w:divBdr>
        <w:top w:val="none" w:sz="0" w:space="0" w:color="auto"/>
        <w:left w:val="none" w:sz="0" w:space="0" w:color="auto"/>
        <w:bottom w:val="none" w:sz="0" w:space="0" w:color="auto"/>
        <w:right w:val="none" w:sz="0" w:space="0" w:color="auto"/>
      </w:divBdr>
    </w:div>
    <w:div w:id="732505313">
      <w:bodyDiv w:val="1"/>
      <w:marLeft w:val="0"/>
      <w:marRight w:val="0"/>
      <w:marTop w:val="0"/>
      <w:marBottom w:val="0"/>
      <w:divBdr>
        <w:top w:val="none" w:sz="0" w:space="0" w:color="auto"/>
        <w:left w:val="none" w:sz="0" w:space="0" w:color="auto"/>
        <w:bottom w:val="none" w:sz="0" w:space="0" w:color="auto"/>
        <w:right w:val="none" w:sz="0" w:space="0" w:color="auto"/>
      </w:divBdr>
    </w:div>
    <w:div w:id="733358584">
      <w:bodyDiv w:val="1"/>
      <w:marLeft w:val="0"/>
      <w:marRight w:val="0"/>
      <w:marTop w:val="0"/>
      <w:marBottom w:val="0"/>
      <w:divBdr>
        <w:top w:val="none" w:sz="0" w:space="0" w:color="auto"/>
        <w:left w:val="none" w:sz="0" w:space="0" w:color="auto"/>
        <w:bottom w:val="none" w:sz="0" w:space="0" w:color="auto"/>
        <w:right w:val="none" w:sz="0" w:space="0" w:color="auto"/>
      </w:divBdr>
    </w:div>
    <w:div w:id="742408658">
      <w:bodyDiv w:val="1"/>
      <w:marLeft w:val="0"/>
      <w:marRight w:val="0"/>
      <w:marTop w:val="0"/>
      <w:marBottom w:val="0"/>
      <w:divBdr>
        <w:top w:val="none" w:sz="0" w:space="0" w:color="auto"/>
        <w:left w:val="none" w:sz="0" w:space="0" w:color="auto"/>
        <w:bottom w:val="none" w:sz="0" w:space="0" w:color="auto"/>
        <w:right w:val="none" w:sz="0" w:space="0" w:color="auto"/>
      </w:divBdr>
    </w:div>
    <w:div w:id="743379568">
      <w:bodyDiv w:val="1"/>
      <w:marLeft w:val="0"/>
      <w:marRight w:val="0"/>
      <w:marTop w:val="0"/>
      <w:marBottom w:val="0"/>
      <w:divBdr>
        <w:top w:val="none" w:sz="0" w:space="0" w:color="auto"/>
        <w:left w:val="none" w:sz="0" w:space="0" w:color="auto"/>
        <w:bottom w:val="none" w:sz="0" w:space="0" w:color="auto"/>
        <w:right w:val="none" w:sz="0" w:space="0" w:color="auto"/>
      </w:divBdr>
    </w:div>
    <w:div w:id="762608275">
      <w:bodyDiv w:val="1"/>
      <w:marLeft w:val="0"/>
      <w:marRight w:val="0"/>
      <w:marTop w:val="0"/>
      <w:marBottom w:val="0"/>
      <w:divBdr>
        <w:top w:val="none" w:sz="0" w:space="0" w:color="auto"/>
        <w:left w:val="none" w:sz="0" w:space="0" w:color="auto"/>
        <w:bottom w:val="none" w:sz="0" w:space="0" w:color="auto"/>
        <w:right w:val="none" w:sz="0" w:space="0" w:color="auto"/>
      </w:divBdr>
    </w:div>
    <w:div w:id="766117477">
      <w:bodyDiv w:val="1"/>
      <w:marLeft w:val="0"/>
      <w:marRight w:val="0"/>
      <w:marTop w:val="0"/>
      <w:marBottom w:val="0"/>
      <w:divBdr>
        <w:top w:val="none" w:sz="0" w:space="0" w:color="auto"/>
        <w:left w:val="none" w:sz="0" w:space="0" w:color="auto"/>
        <w:bottom w:val="none" w:sz="0" w:space="0" w:color="auto"/>
        <w:right w:val="none" w:sz="0" w:space="0" w:color="auto"/>
      </w:divBdr>
    </w:div>
    <w:div w:id="773869396">
      <w:bodyDiv w:val="1"/>
      <w:marLeft w:val="0"/>
      <w:marRight w:val="0"/>
      <w:marTop w:val="0"/>
      <w:marBottom w:val="0"/>
      <w:divBdr>
        <w:top w:val="none" w:sz="0" w:space="0" w:color="auto"/>
        <w:left w:val="none" w:sz="0" w:space="0" w:color="auto"/>
        <w:bottom w:val="none" w:sz="0" w:space="0" w:color="auto"/>
        <w:right w:val="none" w:sz="0" w:space="0" w:color="auto"/>
      </w:divBdr>
    </w:div>
    <w:div w:id="775831380">
      <w:bodyDiv w:val="1"/>
      <w:marLeft w:val="0"/>
      <w:marRight w:val="0"/>
      <w:marTop w:val="0"/>
      <w:marBottom w:val="0"/>
      <w:divBdr>
        <w:top w:val="none" w:sz="0" w:space="0" w:color="auto"/>
        <w:left w:val="none" w:sz="0" w:space="0" w:color="auto"/>
        <w:bottom w:val="none" w:sz="0" w:space="0" w:color="auto"/>
        <w:right w:val="none" w:sz="0" w:space="0" w:color="auto"/>
      </w:divBdr>
    </w:div>
    <w:div w:id="776096634">
      <w:bodyDiv w:val="1"/>
      <w:marLeft w:val="0"/>
      <w:marRight w:val="0"/>
      <w:marTop w:val="0"/>
      <w:marBottom w:val="0"/>
      <w:divBdr>
        <w:top w:val="none" w:sz="0" w:space="0" w:color="auto"/>
        <w:left w:val="none" w:sz="0" w:space="0" w:color="auto"/>
        <w:bottom w:val="none" w:sz="0" w:space="0" w:color="auto"/>
        <w:right w:val="none" w:sz="0" w:space="0" w:color="auto"/>
      </w:divBdr>
    </w:div>
    <w:div w:id="776829267">
      <w:bodyDiv w:val="1"/>
      <w:marLeft w:val="0"/>
      <w:marRight w:val="0"/>
      <w:marTop w:val="0"/>
      <w:marBottom w:val="0"/>
      <w:divBdr>
        <w:top w:val="none" w:sz="0" w:space="0" w:color="auto"/>
        <w:left w:val="none" w:sz="0" w:space="0" w:color="auto"/>
        <w:bottom w:val="none" w:sz="0" w:space="0" w:color="auto"/>
        <w:right w:val="none" w:sz="0" w:space="0" w:color="auto"/>
      </w:divBdr>
    </w:div>
    <w:div w:id="788209771">
      <w:bodyDiv w:val="1"/>
      <w:marLeft w:val="0"/>
      <w:marRight w:val="0"/>
      <w:marTop w:val="0"/>
      <w:marBottom w:val="0"/>
      <w:divBdr>
        <w:top w:val="none" w:sz="0" w:space="0" w:color="auto"/>
        <w:left w:val="none" w:sz="0" w:space="0" w:color="auto"/>
        <w:bottom w:val="none" w:sz="0" w:space="0" w:color="auto"/>
        <w:right w:val="none" w:sz="0" w:space="0" w:color="auto"/>
      </w:divBdr>
    </w:div>
    <w:div w:id="794105790">
      <w:bodyDiv w:val="1"/>
      <w:marLeft w:val="0"/>
      <w:marRight w:val="0"/>
      <w:marTop w:val="0"/>
      <w:marBottom w:val="0"/>
      <w:divBdr>
        <w:top w:val="none" w:sz="0" w:space="0" w:color="auto"/>
        <w:left w:val="none" w:sz="0" w:space="0" w:color="auto"/>
        <w:bottom w:val="none" w:sz="0" w:space="0" w:color="auto"/>
        <w:right w:val="none" w:sz="0" w:space="0" w:color="auto"/>
      </w:divBdr>
    </w:div>
    <w:div w:id="809327661">
      <w:bodyDiv w:val="1"/>
      <w:marLeft w:val="0"/>
      <w:marRight w:val="0"/>
      <w:marTop w:val="0"/>
      <w:marBottom w:val="0"/>
      <w:divBdr>
        <w:top w:val="none" w:sz="0" w:space="0" w:color="auto"/>
        <w:left w:val="none" w:sz="0" w:space="0" w:color="auto"/>
        <w:bottom w:val="none" w:sz="0" w:space="0" w:color="auto"/>
        <w:right w:val="none" w:sz="0" w:space="0" w:color="auto"/>
      </w:divBdr>
    </w:div>
    <w:div w:id="811215693">
      <w:bodyDiv w:val="1"/>
      <w:marLeft w:val="0"/>
      <w:marRight w:val="0"/>
      <w:marTop w:val="0"/>
      <w:marBottom w:val="0"/>
      <w:divBdr>
        <w:top w:val="none" w:sz="0" w:space="0" w:color="auto"/>
        <w:left w:val="none" w:sz="0" w:space="0" w:color="auto"/>
        <w:bottom w:val="none" w:sz="0" w:space="0" w:color="auto"/>
        <w:right w:val="none" w:sz="0" w:space="0" w:color="auto"/>
      </w:divBdr>
    </w:div>
    <w:div w:id="815342601">
      <w:bodyDiv w:val="1"/>
      <w:marLeft w:val="0"/>
      <w:marRight w:val="0"/>
      <w:marTop w:val="0"/>
      <w:marBottom w:val="0"/>
      <w:divBdr>
        <w:top w:val="none" w:sz="0" w:space="0" w:color="auto"/>
        <w:left w:val="none" w:sz="0" w:space="0" w:color="auto"/>
        <w:bottom w:val="none" w:sz="0" w:space="0" w:color="auto"/>
        <w:right w:val="none" w:sz="0" w:space="0" w:color="auto"/>
      </w:divBdr>
    </w:div>
    <w:div w:id="818231107">
      <w:bodyDiv w:val="1"/>
      <w:marLeft w:val="0"/>
      <w:marRight w:val="0"/>
      <w:marTop w:val="0"/>
      <w:marBottom w:val="0"/>
      <w:divBdr>
        <w:top w:val="none" w:sz="0" w:space="0" w:color="auto"/>
        <w:left w:val="none" w:sz="0" w:space="0" w:color="auto"/>
        <w:bottom w:val="none" w:sz="0" w:space="0" w:color="auto"/>
        <w:right w:val="none" w:sz="0" w:space="0" w:color="auto"/>
      </w:divBdr>
    </w:div>
    <w:div w:id="828058186">
      <w:bodyDiv w:val="1"/>
      <w:marLeft w:val="0"/>
      <w:marRight w:val="0"/>
      <w:marTop w:val="0"/>
      <w:marBottom w:val="0"/>
      <w:divBdr>
        <w:top w:val="none" w:sz="0" w:space="0" w:color="auto"/>
        <w:left w:val="none" w:sz="0" w:space="0" w:color="auto"/>
        <w:bottom w:val="none" w:sz="0" w:space="0" w:color="auto"/>
        <w:right w:val="none" w:sz="0" w:space="0" w:color="auto"/>
      </w:divBdr>
    </w:div>
    <w:div w:id="842167164">
      <w:bodyDiv w:val="1"/>
      <w:marLeft w:val="0"/>
      <w:marRight w:val="0"/>
      <w:marTop w:val="0"/>
      <w:marBottom w:val="0"/>
      <w:divBdr>
        <w:top w:val="none" w:sz="0" w:space="0" w:color="auto"/>
        <w:left w:val="none" w:sz="0" w:space="0" w:color="auto"/>
        <w:bottom w:val="none" w:sz="0" w:space="0" w:color="auto"/>
        <w:right w:val="none" w:sz="0" w:space="0" w:color="auto"/>
      </w:divBdr>
    </w:div>
    <w:div w:id="844441044">
      <w:bodyDiv w:val="1"/>
      <w:marLeft w:val="0"/>
      <w:marRight w:val="0"/>
      <w:marTop w:val="0"/>
      <w:marBottom w:val="0"/>
      <w:divBdr>
        <w:top w:val="none" w:sz="0" w:space="0" w:color="auto"/>
        <w:left w:val="none" w:sz="0" w:space="0" w:color="auto"/>
        <w:bottom w:val="none" w:sz="0" w:space="0" w:color="auto"/>
        <w:right w:val="none" w:sz="0" w:space="0" w:color="auto"/>
      </w:divBdr>
    </w:div>
    <w:div w:id="848443068">
      <w:bodyDiv w:val="1"/>
      <w:marLeft w:val="0"/>
      <w:marRight w:val="0"/>
      <w:marTop w:val="0"/>
      <w:marBottom w:val="0"/>
      <w:divBdr>
        <w:top w:val="none" w:sz="0" w:space="0" w:color="auto"/>
        <w:left w:val="none" w:sz="0" w:space="0" w:color="auto"/>
        <w:bottom w:val="none" w:sz="0" w:space="0" w:color="auto"/>
        <w:right w:val="none" w:sz="0" w:space="0" w:color="auto"/>
      </w:divBdr>
    </w:div>
    <w:div w:id="851802047">
      <w:bodyDiv w:val="1"/>
      <w:marLeft w:val="0"/>
      <w:marRight w:val="0"/>
      <w:marTop w:val="0"/>
      <w:marBottom w:val="0"/>
      <w:divBdr>
        <w:top w:val="none" w:sz="0" w:space="0" w:color="auto"/>
        <w:left w:val="none" w:sz="0" w:space="0" w:color="auto"/>
        <w:bottom w:val="none" w:sz="0" w:space="0" w:color="auto"/>
        <w:right w:val="none" w:sz="0" w:space="0" w:color="auto"/>
      </w:divBdr>
    </w:div>
    <w:div w:id="854267324">
      <w:bodyDiv w:val="1"/>
      <w:marLeft w:val="0"/>
      <w:marRight w:val="0"/>
      <w:marTop w:val="0"/>
      <w:marBottom w:val="0"/>
      <w:divBdr>
        <w:top w:val="none" w:sz="0" w:space="0" w:color="auto"/>
        <w:left w:val="none" w:sz="0" w:space="0" w:color="auto"/>
        <w:bottom w:val="none" w:sz="0" w:space="0" w:color="auto"/>
        <w:right w:val="none" w:sz="0" w:space="0" w:color="auto"/>
      </w:divBdr>
    </w:div>
    <w:div w:id="854657937">
      <w:bodyDiv w:val="1"/>
      <w:marLeft w:val="0"/>
      <w:marRight w:val="0"/>
      <w:marTop w:val="0"/>
      <w:marBottom w:val="0"/>
      <w:divBdr>
        <w:top w:val="none" w:sz="0" w:space="0" w:color="auto"/>
        <w:left w:val="none" w:sz="0" w:space="0" w:color="auto"/>
        <w:bottom w:val="none" w:sz="0" w:space="0" w:color="auto"/>
        <w:right w:val="none" w:sz="0" w:space="0" w:color="auto"/>
      </w:divBdr>
    </w:div>
    <w:div w:id="862086782">
      <w:bodyDiv w:val="1"/>
      <w:marLeft w:val="0"/>
      <w:marRight w:val="0"/>
      <w:marTop w:val="0"/>
      <w:marBottom w:val="0"/>
      <w:divBdr>
        <w:top w:val="none" w:sz="0" w:space="0" w:color="auto"/>
        <w:left w:val="none" w:sz="0" w:space="0" w:color="auto"/>
        <w:bottom w:val="none" w:sz="0" w:space="0" w:color="auto"/>
        <w:right w:val="none" w:sz="0" w:space="0" w:color="auto"/>
      </w:divBdr>
    </w:div>
    <w:div w:id="862090067">
      <w:bodyDiv w:val="1"/>
      <w:marLeft w:val="0"/>
      <w:marRight w:val="0"/>
      <w:marTop w:val="0"/>
      <w:marBottom w:val="0"/>
      <w:divBdr>
        <w:top w:val="none" w:sz="0" w:space="0" w:color="auto"/>
        <w:left w:val="none" w:sz="0" w:space="0" w:color="auto"/>
        <w:bottom w:val="none" w:sz="0" w:space="0" w:color="auto"/>
        <w:right w:val="none" w:sz="0" w:space="0" w:color="auto"/>
      </w:divBdr>
    </w:div>
    <w:div w:id="870604333">
      <w:bodyDiv w:val="1"/>
      <w:marLeft w:val="0"/>
      <w:marRight w:val="0"/>
      <w:marTop w:val="0"/>
      <w:marBottom w:val="0"/>
      <w:divBdr>
        <w:top w:val="none" w:sz="0" w:space="0" w:color="auto"/>
        <w:left w:val="none" w:sz="0" w:space="0" w:color="auto"/>
        <w:bottom w:val="none" w:sz="0" w:space="0" w:color="auto"/>
        <w:right w:val="none" w:sz="0" w:space="0" w:color="auto"/>
      </w:divBdr>
    </w:div>
    <w:div w:id="872303795">
      <w:bodyDiv w:val="1"/>
      <w:marLeft w:val="0"/>
      <w:marRight w:val="0"/>
      <w:marTop w:val="0"/>
      <w:marBottom w:val="0"/>
      <w:divBdr>
        <w:top w:val="none" w:sz="0" w:space="0" w:color="auto"/>
        <w:left w:val="none" w:sz="0" w:space="0" w:color="auto"/>
        <w:bottom w:val="none" w:sz="0" w:space="0" w:color="auto"/>
        <w:right w:val="none" w:sz="0" w:space="0" w:color="auto"/>
      </w:divBdr>
    </w:div>
    <w:div w:id="881602209">
      <w:bodyDiv w:val="1"/>
      <w:marLeft w:val="0"/>
      <w:marRight w:val="0"/>
      <w:marTop w:val="0"/>
      <w:marBottom w:val="0"/>
      <w:divBdr>
        <w:top w:val="none" w:sz="0" w:space="0" w:color="auto"/>
        <w:left w:val="none" w:sz="0" w:space="0" w:color="auto"/>
        <w:bottom w:val="none" w:sz="0" w:space="0" w:color="auto"/>
        <w:right w:val="none" w:sz="0" w:space="0" w:color="auto"/>
      </w:divBdr>
    </w:div>
    <w:div w:id="922179867">
      <w:bodyDiv w:val="1"/>
      <w:marLeft w:val="0"/>
      <w:marRight w:val="0"/>
      <w:marTop w:val="0"/>
      <w:marBottom w:val="0"/>
      <w:divBdr>
        <w:top w:val="none" w:sz="0" w:space="0" w:color="auto"/>
        <w:left w:val="none" w:sz="0" w:space="0" w:color="auto"/>
        <w:bottom w:val="none" w:sz="0" w:space="0" w:color="auto"/>
        <w:right w:val="none" w:sz="0" w:space="0" w:color="auto"/>
      </w:divBdr>
    </w:div>
    <w:div w:id="922570203">
      <w:bodyDiv w:val="1"/>
      <w:marLeft w:val="0"/>
      <w:marRight w:val="0"/>
      <w:marTop w:val="0"/>
      <w:marBottom w:val="0"/>
      <w:divBdr>
        <w:top w:val="none" w:sz="0" w:space="0" w:color="auto"/>
        <w:left w:val="none" w:sz="0" w:space="0" w:color="auto"/>
        <w:bottom w:val="none" w:sz="0" w:space="0" w:color="auto"/>
        <w:right w:val="none" w:sz="0" w:space="0" w:color="auto"/>
      </w:divBdr>
    </w:div>
    <w:div w:id="923956593">
      <w:bodyDiv w:val="1"/>
      <w:marLeft w:val="0"/>
      <w:marRight w:val="0"/>
      <w:marTop w:val="0"/>
      <w:marBottom w:val="0"/>
      <w:divBdr>
        <w:top w:val="none" w:sz="0" w:space="0" w:color="auto"/>
        <w:left w:val="none" w:sz="0" w:space="0" w:color="auto"/>
        <w:bottom w:val="none" w:sz="0" w:space="0" w:color="auto"/>
        <w:right w:val="none" w:sz="0" w:space="0" w:color="auto"/>
      </w:divBdr>
    </w:div>
    <w:div w:id="924651590">
      <w:bodyDiv w:val="1"/>
      <w:marLeft w:val="0"/>
      <w:marRight w:val="0"/>
      <w:marTop w:val="0"/>
      <w:marBottom w:val="0"/>
      <w:divBdr>
        <w:top w:val="none" w:sz="0" w:space="0" w:color="auto"/>
        <w:left w:val="none" w:sz="0" w:space="0" w:color="auto"/>
        <w:bottom w:val="none" w:sz="0" w:space="0" w:color="auto"/>
        <w:right w:val="none" w:sz="0" w:space="0" w:color="auto"/>
      </w:divBdr>
    </w:div>
    <w:div w:id="925041900">
      <w:bodyDiv w:val="1"/>
      <w:marLeft w:val="0"/>
      <w:marRight w:val="0"/>
      <w:marTop w:val="0"/>
      <w:marBottom w:val="0"/>
      <w:divBdr>
        <w:top w:val="none" w:sz="0" w:space="0" w:color="auto"/>
        <w:left w:val="none" w:sz="0" w:space="0" w:color="auto"/>
        <w:bottom w:val="none" w:sz="0" w:space="0" w:color="auto"/>
        <w:right w:val="none" w:sz="0" w:space="0" w:color="auto"/>
      </w:divBdr>
    </w:div>
    <w:div w:id="925649167">
      <w:bodyDiv w:val="1"/>
      <w:marLeft w:val="0"/>
      <w:marRight w:val="0"/>
      <w:marTop w:val="0"/>
      <w:marBottom w:val="0"/>
      <w:divBdr>
        <w:top w:val="none" w:sz="0" w:space="0" w:color="auto"/>
        <w:left w:val="none" w:sz="0" w:space="0" w:color="auto"/>
        <w:bottom w:val="none" w:sz="0" w:space="0" w:color="auto"/>
        <w:right w:val="none" w:sz="0" w:space="0" w:color="auto"/>
      </w:divBdr>
    </w:div>
    <w:div w:id="928467350">
      <w:bodyDiv w:val="1"/>
      <w:marLeft w:val="0"/>
      <w:marRight w:val="0"/>
      <w:marTop w:val="0"/>
      <w:marBottom w:val="0"/>
      <w:divBdr>
        <w:top w:val="none" w:sz="0" w:space="0" w:color="auto"/>
        <w:left w:val="none" w:sz="0" w:space="0" w:color="auto"/>
        <w:bottom w:val="none" w:sz="0" w:space="0" w:color="auto"/>
        <w:right w:val="none" w:sz="0" w:space="0" w:color="auto"/>
      </w:divBdr>
    </w:div>
    <w:div w:id="958682031">
      <w:bodyDiv w:val="1"/>
      <w:marLeft w:val="0"/>
      <w:marRight w:val="0"/>
      <w:marTop w:val="0"/>
      <w:marBottom w:val="0"/>
      <w:divBdr>
        <w:top w:val="none" w:sz="0" w:space="0" w:color="auto"/>
        <w:left w:val="none" w:sz="0" w:space="0" w:color="auto"/>
        <w:bottom w:val="none" w:sz="0" w:space="0" w:color="auto"/>
        <w:right w:val="none" w:sz="0" w:space="0" w:color="auto"/>
      </w:divBdr>
    </w:div>
    <w:div w:id="961687907">
      <w:bodyDiv w:val="1"/>
      <w:marLeft w:val="0"/>
      <w:marRight w:val="0"/>
      <w:marTop w:val="0"/>
      <w:marBottom w:val="0"/>
      <w:divBdr>
        <w:top w:val="none" w:sz="0" w:space="0" w:color="auto"/>
        <w:left w:val="none" w:sz="0" w:space="0" w:color="auto"/>
        <w:bottom w:val="none" w:sz="0" w:space="0" w:color="auto"/>
        <w:right w:val="none" w:sz="0" w:space="0" w:color="auto"/>
      </w:divBdr>
    </w:div>
    <w:div w:id="972559035">
      <w:bodyDiv w:val="1"/>
      <w:marLeft w:val="0"/>
      <w:marRight w:val="0"/>
      <w:marTop w:val="0"/>
      <w:marBottom w:val="0"/>
      <w:divBdr>
        <w:top w:val="none" w:sz="0" w:space="0" w:color="auto"/>
        <w:left w:val="none" w:sz="0" w:space="0" w:color="auto"/>
        <w:bottom w:val="none" w:sz="0" w:space="0" w:color="auto"/>
        <w:right w:val="none" w:sz="0" w:space="0" w:color="auto"/>
      </w:divBdr>
    </w:div>
    <w:div w:id="983505167">
      <w:bodyDiv w:val="1"/>
      <w:marLeft w:val="0"/>
      <w:marRight w:val="0"/>
      <w:marTop w:val="0"/>
      <w:marBottom w:val="0"/>
      <w:divBdr>
        <w:top w:val="none" w:sz="0" w:space="0" w:color="auto"/>
        <w:left w:val="none" w:sz="0" w:space="0" w:color="auto"/>
        <w:bottom w:val="none" w:sz="0" w:space="0" w:color="auto"/>
        <w:right w:val="none" w:sz="0" w:space="0" w:color="auto"/>
      </w:divBdr>
    </w:div>
    <w:div w:id="1002590328">
      <w:bodyDiv w:val="1"/>
      <w:marLeft w:val="0"/>
      <w:marRight w:val="0"/>
      <w:marTop w:val="0"/>
      <w:marBottom w:val="0"/>
      <w:divBdr>
        <w:top w:val="none" w:sz="0" w:space="0" w:color="auto"/>
        <w:left w:val="none" w:sz="0" w:space="0" w:color="auto"/>
        <w:bottom w:val="none" w:sz="0" w:space="0" w:color="auto"/>
        <w:right w:val="none" w:sz="0" w:space="0" w:color="auto"/>
      </w:divBdr>
    </w:div>
    <w:div w:id="1005978195">
      <w:bodyDiv w:val="1"/>
      <w:marLeft w:val="0"/>
      <w:marRight w:val="0"/>
      <w:marTop w:val="0"/>
      <w:marBottom w:val="0"/>
      <w:divBdr>
        <w:top w:val="none" w:sz="0" w:space="0" w:color="auto"/>
        <w:left w:val="none" w:sz="0" w:space="0" w:color="auto"/>
        <w:bottom w:val="none" w:sz="0" w:space="0" w:color="auto"/>
        <w:right w:val="none" w:sz="0" w:space="0" w:color="auto"/>
      </w:divBdr>
    </w:div>
    <w:div w:id="1009984412">
      <w:bodyDiv w:val="1"/>
      <w:marLeft w:val="0"/>
      <w:marRight w:val="0"/>
      <w:marTop w:val="0"/>
      <w:marBottom w:val="0"/>
      <w:divBdr>
        <w:top w:val="none" w:sz="0" w:space="0" w:color="auto"/>
        <w:left w:val="none" w:sz="0" w:space="0" w:color="auto"/>
        <w:bottom w:val="none" w:sz="0" w:space="0" w:color="auto"/>
        <w:right w:val="none" w:sz="0" w:space="0" w:color="auto"/>
      </w:divBdr>
    </w:div>
    <w:div w:id="1019359319">
      <w:bodyDiv w:val="1"/>
      <w:marLeft w:val="0"/>
      <w:marRight w:val="0"/>
      <w:marTop w:val="0"/>
      <w:marBottom w:val="0"/>
      <w:divBdr>
        <w:top w:val="none" w:sz="0" w:space="0" w:color="auto"/>
        <w:left w:val="none" w:sz="0" w:space="0" w:color="auto"/>
        <w:bottom w:val="none" w:sz="0" w:space="0" w:color="auto"/>
        <w:right w:val="none" w:sz="0" w:space="0" w:color="auto"/>
      </w:divBdr>
    </w:div>
    <w:div w:id="1027412562">
      <w:bodyDiv w:val="1"/>
      <w:marLeft w:val="0"/>
      <w:marRight w:val="0"/>
      <w:marTop w:val="0"/>
      <w:marBottom w:val="0"/>
      <w:divBdr>
        <w:top w:val="none" w:sz="0" w:space="0" w:color="auto"/>
        <w:left w:val="none" w:sz="0" w:space="0" w:color="auto"/>
        <w:bottom w:val="none" w:sz="0" w:space="0" w:color="auto"/>
        <w:right w:val="none" w:sz="0" w:space="0" w:color="auto"/>
      </w:divBdr>
    </w:div>
    <w:div w:id="1029645015">
      <w:bodyDiv w:val="1"/>
      <w:marLeft w:val="0"/>
      <w:marRight w:val="0"/>
      <w:marTop w:val="0"/>
      <w:marBottom w:val="0"/>
      <w:divBdr>
        <w:top w:val="none" w:sz="0" w:space="0" w:color="auto"/>
        <w:left w:val="none" w:sz="0" w:space="0" w:color="auto"/>
        <w:bottom w:val="none" w:sz="0" w:space="0" w:color="auto"/>
        <w:right w:val="none" w:sz="0" w:space="0" w:color="auto"/>
      </w:divBdr>
    </w:div>
    <w:div w:id="1041055843">
      <w:bodyDiv w:val="1"/>
      <w:marLeft w:val="0"/>
      <w:marRight w:val="0"/>
      <w:marTop w:val="0"/>
      <w:marBottom w:val="0"/>
      <w:divBdr>
        <w:top w:val="none" w:sz="0" w:space="0" w:color="auto"/>
        <w:left w:val="none" w:sz="0" w:space="0" w:color="auto"/>
        <w:bottom w:val="none" w:sz="0" w:space="0" w:color="auto"/>
        <w:right w:val="none" w:sz="0" w:space="0" w:color="auto"/>
      </w:divBdr>
    </w:div>
    <w:div w:id="1041399515">
      <w:bodyDiv w:val="1"/>
      <w:marLeft w:val="0"/>
      <w:marRight w:val="0"/>
      <w:marTop w:val="0"/>
      <w:marBottom w:val="0"/>
      <w:divBdr>
        <w:top w:val="none" w:sz="0" w:space="0" w:color="auto"/>
        <w:left w:val="none" w:sz="0" w:space="0" w:color="auto"/>
        <w:bottom w:val="none" w:sz="0" w:space="0" w:color="auto"/>
        <w:right w:val="none" w:sz="0" w:space="0" w:color="auto"/>
      </w:divBdr>
    </w:div>
    <w:div w:id="1051806221">
      <w:bodyDiv w:val="1"/>
      <w:marLeft w:val="0"/>
      <w:marRight w:val="0"/>
      <w:marTop w:val="0"/>
      <w:marBottom w:val="0"/>
      <w:divBdr>
        <w:top w:val="none" w:sz="0" w:space="0" w:color="auto"/>
        <w:left w:val="none" w:sz="0" w:space="0" w:color="auto"/>
        <w:bottom w:val="none" w:sz="0" w:space="0" w:color="auto"/>
        <w:right w:val="none" w:sz="0" w:space="0" w:color="auto"/>
      </w:divBdr>
    </w:div>
    <w:div w:id="1058675098">
      <w:bodyDiv w:val="1"/>
      <w:marLeft w:val="0"/>
      <w:marRight w:val="0"/>
      <w:marTop w:val="0"/>
      <w:marBottom w:val="0"/>
      <w:divBdr>
        <w:top w:val="none" w:sz="0" w:space="0" w:color="auto"/>
        <w:left w:val="none" w:sz="0" w:space="0" w:color="auto"/>
        <w:bottom w:val="none" w:sz="0" w:space="0" w:color="auto"/>
        <w:right w:val="none" w:sz="0" w:space="0" w:color="auto"/>
      </w:divBdr>
    </w:div>
    <w:div w:id="1071462458">
      <w:bodyDiv w:val="1"/>
      <w:marLeft w:val="0"/>
      <w:marRight w:val="0"/>
      <w:marTop w:val="0"/>
      <w:marBottom w:val="0"/>
      <w:divBdr>
        <w:top w:val="none" w:sz="0" w:space="0" w:color="auto"/>
        <w:left w:val="none" w:sz="0" w:space="0" w:color="auto"/>
        <w:bottom w:val="none" w:sz="0" w:space="0" w:color="auto"/>
        <w:right w:val="none" w:sz="0" w:space="0" w:color="auto"/>
      </w:divBdr>
    </w:div>
    <w:div w:id="1082683386">
      <w:bodyDiv w:val="1"/>
      <w:marLeft w:val="0"/>
      <w:marRight w:val="0"/>
      <w:marTop w:val="0"/>
      <w:marBottom w:val="0"/>
      <w:divBdr>
        <w:top w:val="none" w:sz="0" w:space="0" w:color="auto"/>
        <w:left w:val="none" w:sz="0" w:space="0" w:color="auto"/>
        <w:bottom w:val="none" w:sz="0" w:space="0" w:color="auto"/>
        <w:right w:val="none" w:sz="0" w:space="0" w:color="auto"/>
      </w:divBdr>
    </w:div>
    <w:div w:id="1083917498">
      <w:bodyDiv w:val="1"/>
      <w:marLeft w:val="0"/>
      <w:marRight w:val="0"/>
      <w:marTop w:val="0"/>
      <w:marBottom w:val="0"/>
      <w:divBdr>
        <w:top w:val="none" w:sz="0" w:space="0" w:color="auto"/>
        <w:left w:val="none" w:sz="0" w:space="0" w:color="auto"/>
        <w:bottom w:val="none" w:sz="0" w:space="0" w:color="auto"/>
        <w:right w:val="none" w:sz="0" w:space="0" w:color="auto"/>
      </w:divBdr>
    </w:div>
    <w:div w:id="1086342396">
      <w:bodyDiv w:val="1"/>
      <w:marLeft w:val="0"/>
      <w:marRight w:val="0"/>
      <w:marTop w:val="0"/>
      <w:marBottom w:val="0"/>
      <w:divBdr>
        <w:top w:val="none" w:sz="0" w:space="0" w:color="auto"/>
        <w:left w:val="none" w:sz="0" w:space="0" w:color="auto"/>
        <w:bottom w:val="none" w:sz="0" w:space="0" w:color="auto"/>
        <w:right w:val="none" w:sz="0" w:space="0" w:color="auto"/>
      </w:divBdr>
    </w:div>
    <w:div w:id="1100296502">
      <w:bodyDiv w:val="1"/>
      <w:marLeft w:val="0"/>
      <w:marRight w:val="0"/>
      <w:marTop w:val="0"/>
      <w:marBottom w:val="0"/>
      <w:divBdr>
        <w:top w:val="none" w:sz="0" w:space="0" w:color="auto"/>
        <w:left w:val="none" w:sz="0" w:space="0" w:color="auto"/>
        <w:bottom w:val="none" w:sz="0" w:space="0" w:color="auto"/>
        <w:right w:val="none" w:sz="0" w:space="0" w:color="auto"/>
      </w:divBdr>
    </w:div>
    <w:div w:id="1117870368">
      <w:bodyDiv w:val="1"/>
      <w:marLeft w:val="0"/>
      <w:marRight w:val="0"/>
      <w:marTop w:val="0"/>
      <w:marBottom w:val="0"/>
      <w:divBdr>
        <w:top w:val="none" w:sz="0" w:space="0" w:color="auto"/>
        <w:left w:val="none" w:sz="0" w:space="0" w:color="auto"/>
        <w:bottom w:val="none" w:sz="0" w:space="0" w:color="auto"/>
        <w:right w:val="none" w:sz="0" w:space="0" w:color="auto"/>
      </w:divBdr>
    </w:div>
    <w:div w:id="1120760609">
      <w:bodyDiv w:val="1"/>
      <w:marLeft w:val="0"/>
      <w:marRight w:val="0"/>
      <w:marTop w:val="0"/>
      <w:marBottom w:val="0"/>
      <w:divBdr>
        <w:top w:val="none" w:sz="0" w:space="0" w:color="auto"/>
        <w:left w:val="none" w:sz="0" w:space="0" w:color="auto"/>
        <w:bottom w:val="none" w:sz="0" w:space="0" w:color="auto"/>
        <w:right w:val="none" w:sz="0" w:space="0" w:color="auto"/>
      </w:divBdr>
    </w:div>
    <w:div w:id="1129859288">
      <w:bodyDiv w:val="1"/>
      <w:marLeft w:val="0"/>
      <w:marRight w:val="0"/>
      <w:marTop w:val="0"/>
      <w:marBottom w:val="0"/>
      <w:divBdr>
        <w:top w:val="none" w:sz="0" w:space="0" w:color="auto"/>
        <w:left w:val="none" w:sz="0" w:space="0" w:color="auto"/>
        <w:bottom w:val="none" w:sz="0" w:space="0" w:color="auto"/>
        <w:right w:val="none" w:sz="0" w:space="0" w:color="auto"/>
      </w:divBdr>
    </w:div>
    <w:div w:id="1134445379">
      <w:bodyDiv w:val="1"/>
      <w:marLeft w:val="0"/>
      <w:marRight w:val="0"/>
      <w:marTop w:val="0"/>
      <w:marBottom w:val="0"/>
      <w:divBdr>
        <w:top w:val="none" w:sz="0" w:space="0" w:color="auto"/>
        <w:left w:val="none" w:sz="0" w:space="0" w:color="auto"/>
        <w:bottom w:val="none" w:sz="0" w:space="0" w:color="auto"/>
        <w:right w:val="none" w:sz="0" w:space="0" w:color="auto"/>
      </w:divBdr>
    </w:div>
    <w:div w:id="1146120041">
      <w:bodyDiv w:val="1"/>
      <w:marLeft w:val="0"/>
      <w:marRight w:val="0"/>
      <w:marTop w:val="0"/>
      <w:marBottom w:val="0"/>
      <w:divBdr>
        <w:top w:val="none" w:sz="0" w:space="0" w:color="auto"/>
        <w:left w:val="none" w:sz="0" w:space="0" w:color="auto"/>
        <w:bottom w:val="none" w:sz="0" w:space="0" w:color="auto"/>
        <w:right w:val="none" w:sz="0" w:space="0" w:color="auto"/>
      </w:divBdr>
    </w:div>
    <w:div w:id="1158882057">
      <w:bodyDiv w:val="1"/>
      <w:marLeft w:val="0"/>
      <w:marRight w:val="0"/>
      <w:marTop w:val="0"/>
      <w:marBottom w:val="0"/>
      <w:divBdr>
        <w:top w:val="none" w:sz="0" w:space="0" w:color="auto"/>
        <w:left w:val="none" w:sz="0" w:space="0" w:color="auto"/>
        <w:bottom w:val="none" w:sz="0" w:space="0" w:color="auto"/>
        <w:right w:val="none" w:sz="0" w:space="0" w:color="auto"/>
      </w:divBdr>
    </w:div>
    <w:div w:id="1161039347">
      <w:bodyDiv w:val="1"/>
      <w:marLeft w:val="0"/>
      <w:marRight w:val="0"/>
      <w:marTop w:val="0"/>
      <w:marBottom w:val="0"/>
      <w:divBdr>
        <w:top w:val="none" w:sz="0" w:space="0" w:color="auto"/>
        <w:left w:val="none" w:sz="0" w:space="0" w:color="auto"/>
        <w:bottom w:val="none" w:sz="0" w:space="0" w:color="auto"/>
        <w:right w:val="none" w:sz="0" w:space="0" w:color="auto"/>
      </w:divBdr>
    </w:div>
    <w:div w:id="1162896036">
      <w:bodyDiv w:val="1"/>
      <w:marLeft w:val="0"/>
      <w:marRight w:val="0"/>
      <w:marTop w:val="0"/>
      <w:marBottom w:val="0"/>
      <w:divBdr>
        <w:top w:val="none" w:sz="0" w:space="0" w:color="auto"/>
        <w:left w:val="none" w:sz="0" w:space="0" w:color="auto"/>
        <w:bottom w:val="none" w:sz="0" w:space="0" w:color="auto"/>
        <w:right w:val="none" w:sz="0" w:space="0" w:color="auto"/>
      </w:divBdr>
    </w:div>
    <w:div w:id="1168012601">
      <w:bodyDiv w:val="1"/>
      <w:marLeft w:val="0"/>
      <w:marRight w:val="0"/>
      <w:marTop w:val="0"/>
      <w:marBottom w:val="0"/>
      <w:divBdr>
        <w:top w:val="none" w:sz="0" w:space="0" w:color="auto"/>
        <w:left w:val="none" w:sz="0" w:space="0" w:color="auto"/>
        <w:bottom w:val="none" w:sz="0" w:space="0" w:color="auto"/>
        <w:right w:val="none" w:sz="0" w:space="0" w:color="auto"/>
      </w:divBdr>
    </w:div>
    <w:div w:id="1177842074">
      <w:bodyDiv w:val="1"/>
      <w:marLeft w:val="0"/>
      <w:marRight w:val="0"/>
      <w:marTop w:val="0"/>
      <w:marBottom w:val="0"/>
      <w:divBdr>
        <w:top w:val="none" w:sz="0" w:space="0" w:color="auto"/>
        <w:left w:val="none" w:sz="0" w:space="0" w:color="auto"/>
        <w:bottom w:val="none" w:sz="0" w:space="0" w:color="auto"/>
        <w:right w:val="none" w:sz="0" w:space="0" w:color="auto"/>
      </w:divBdr>
    </w:div>
    <w:div w:id="1193148574">
      <w:bodyDiv w:val="1"/>
      <w:marLeft w:val="0"/>
      <w:marRight w:val="0"/>
      <w:marTop w:val="0"/>
      <w:marBottom w:val="0"/>
      <w:divBdr>
        <w:top w:val="none" w:sz="0" w:space="0" w:color="auto"/>
        <w:left w:val="none" w:sz="0" w:space="0" w:color="auto"/>
        <w:bottom w:val="none" w:sz="0" w:space="0" w:color="auto"/>
        <w:right w:val="none" w:sz="0" w:space="0" w:color="auto"/>
      </w:divBdr>
    </w:div>
    <w:div w:id="1194802002">
      <w:bodyDiv w:val="1"/>
      <w:marLeft w:val="0"/>
      <w:marRight w:val="0"/>
      <w:marTop w:val="0"/>
      <w:marBottom w:val="0"/>
      <w:divBdr>
        <w:top w:val="none" w:sz="0" w:space="0" w:color="auto"/>
        <w:left w:val="none" w:sz="0" w:space="0" w:color="auto"/>
        <w:bottom w:val="none" w:sz="0" w:space="0" w:color="auto"/>
        <w:right w:val="none" w:sz="0" w:space="0" w:color="auto"/>
      </w:divBdr>
    </w:div>
    <w:div w:id="1194883236">
      <w:bodyDiv w:val="1"/>
      <w:marLeft w:val="0"/>
      <w:marRight w:val="0"/>
      <w:marTop w:val="0"/>
      <w:marBottom w:val="0"/>
      <w:divBdr>
        <w:top w:val="none" w:sz="0" w:space="0" w:color="auto"/>
        <w:left w:val="none" w:sz="0" w:space="0" w:color="auto"/>
        <w:bottom w:val="none" w:sz="0" w:space="0" w:color="auto"/>
        <w:right w:val="none" w:sz="0" w:space="0" w:color="auto"/>
      </w:divBdr>
    </w:div>
    <w:div w:id="1206261879">
      <w:bodyDiv w:val="1"/>
      <w:marLeft w:val="0"/>
      <w:marRight w:val="0"/>
      <w:marTop w:val="0"/>
      <w:marBottom w:val="0"/>
      <w:divBdr>
        <w:top w:val="none" w:sz="0" w:space="0" w:color="auto"/>
        <w:left w:val="none" w:sz="0" w:space="0" w:color="auto"/>
        <w:bottom w:val="none" w:sz="0" w:space="0" w:color="auto"/>
        <w:right w:val="none" w:sz="0" w:space="0" w:color="auto"/>
      </w:divBdr>
    </w:div>
    <w:div w:id="1208033647">
      <w:bodyDiv w:val="1"/>
      <w:marLeft w:val="0"/>
      <w:marRight w:val="0"/>
      <w:marTop w:val="0"/>
      <w:marBottom w:val="0"/>
      <w:divBdr>
        <w:top w:val="none" w:sz="0" w:space="0" w:color="auto"/>
        <w:left w:val="none" w:sz="0" w:space="0" w:color="auto"/>
        <w:bottom w:val="none" w:sz="0" w:space="0" w:color="auto"/>
        <w:right w:val="none" w:sz="0" w:space="0" w:color="auto"/>
      </w:divBdr>
    </w:div>
    <w:div w:id="1215503545">
      <w:bodyDiv w:val="1"/>
      <w:marLeft w:val="0"/>
      <w:marRight w:val="0"/>
      <w:marTop w:val="0"/>
      <w:marBottom w:val="0"/>
      <w:divBdr>
        <w:top w:val="none" w:sz="0" w:space="0" w:color="auto"/>
        <w:left w:val="none" w:sz="0" w:space="0" w:color="auto"/>
        <w:bottom w:val="none" w:sz="0" w:space="0" w:color="auto"/>
        <w:right w:val="none" w:sz="0" w:space="0" w:color="auto"/>
      </w:divBdr>
    </w:div>
    <w:div w:id="1217741775">
      <w:bodyDiv w:val="1"/>
      <w:marLeft w:val="0"/>
      <w:marRight w:val="0"/>
      <w:marTop w:val="0"/>
      <w:marBottom w:val="0"/>
      <w:divBdr>
        <w:top w:val="none" w:sz="0" w:space="0" w:color="auto"/>
        <w:left w:val="none" w:sz="0" w:space="0" w:color="auto"/>
        <w:bottom w:val="none" w:sz="0" w:space="0" w:color="auto"/>
        <w:right w:val="none" w:sz="0" w:space="0" w:color="auto"/>
      </w:divBdr>
    </w:div>
    <w:div w:id="1223366406">
      <w:bodyDiv w:val="1"/>
      <w:marLeft w:val="0"/>
      <w:marRight w:val="0"/>
      <w:marTop w:val="0"/>
      <w:marBottom w:val="0"/>
      <w:divBdr>
        <w:top w:val="none" w:sz="0" w:space="0" w:color="auto"/>
        <w:left w:val="none" w:sz="0" w:space="0" w:color="auto"/>
        <w:bottom w:val="none" w:sz="0" w:space="0" w:color="auto"/>
        <w:right w:val="none" w:sz="0" w:space="0" w:color="auto"/>
      </w:divBdr>
    </w:div>
    <w:div w:id="1240673215">
      <w:bodyDiv w:val="1"/>
      <w:marLeft w:val="0"/>
      <w:marRight w:val="0"/>
      <w:marTop w:val="0"/>
      <w:marBottom w:val="0"/>
      <w:divBdr>
        <w:top w:val="none" w:sz="0" w:space="0" w:color="auto"/>
        <w:left w:val="none" w:sz="0" w:space="0" w:color="auto"/>
        <w:bottom w:val="none" w:sz="0" w:space="0" w:color="auto"/>
        <w:right w:val="none" w:sz="0" w:space="0" w:color="auto"/>
      </w:divBdr>
    </w:div>
    <w:div w:id="1242518986">
      <w:bodyDiv w:val="1"/>
      <w:marLeft w:val="0"/>
      <w:marRight w:val="0"/>
      <w:marTop w:val="0"/>
      <w:marBottom w:val="0"/>
      <w:divBdr>
        <w:top w:val="none" w:sz="0" w:space="0" w:color="auto"/>
        <w:left w:val="none" w:sz="0" w:space="0" w:color="auto"/>
        <w:bottom w:val="none" w:sz="0" w:space="0" w:color="auto"/>
        <w:right w:val="none" w:sz="0" w:space="0" w:color="auto"/>
      </w:divBdr>
    </w:div>
    <w:div w:id="1245333085">
      <w:bodyDiv w:val="1"/>
      <w:marLeft w:val="0"/>
      <w:marRight w:val="0"/>
      <w:marTop w:val="0"/>
      <w:marBottom w:val="0"/>
      <w:divBdr>
        <w:top w:val="none" w:sz="0" w:space="0" w:color="auto"/>
        <w:left w:val="none" w:sz="0" w:space="0" w:color="auto"/>
        <w:bottom w:val="none" w:sz="0" w:space="0" w:color="auto"/>
        <w:right w:val="none" w:sz="0" w:space="0" w:color="auto"/>
      </w:divBdr>
    </w:div>
    <w:div w:id="1249120875">
      <w:bodyDiv w:val="1"/>
      <w:marLeft w:val="0"/>
      <w:marRight w:val="0"/>
      <w:marTop w:val="0"/>
      <w:marBottom w:val="0"/>
      <w:divBdr>
        <w:top w:val="none" w:sz="0" w:space="0" w:color="auto"/>
        <w:left w:val="none" w:sz="0" w:space="0" w:color="auto"/>
        <w:bottom w:val="none" w:sz="0" w:space="0" w:color="auto"/>
        <w:right w:val="none" w:sz="0" w:space="0" w:color="auto"/>
      </w:divBdr>
    </w:div>
    <w:div w:id="1267428131">
      <w:bodyDiv w:val="1"/>
      <w:marLeft w:val="0"/>
      <w:marRight w:val="0"/>
      <w:marTop w:val="0"/>
      <w:marBottom w:val="0"/>
      <w:divBdr>
        <w:top w:val="none" w:sz="0" w:space="0" w:color="auto"/>
        <w:left w:val="none" w:sz="0" w:space="0" w:color="auto"/>
        <w:bottom w:val="none" w:sz="0" w:space="0" w:color="auto"/>
        <w:right w:val="none" w:sz="0" w:space="0" w:color="auto"/>
      </w:divBdr>
    </w:div>
    <w:div w:id="1282607806">
      <w:bodyDiv w:val="1"/>
      <w:marLeft w:val="0"/>
      <w:marRight w:val="0"/>
      <w:marTop w:val="0"/>
      <w:marBottom w:val="0"/>
      <w:divBdr>
        <w:top w:val="none" w:sz="0" w:space="0" w:color="auto"/>
        <w:left w:val="none" w:sz="0" w:space="0" w:color="auto"/>
        <w:bottom w:val="none" w:sz="0" w:space="0" w:color="auto"/>
        <w:right w:val="none" w:sz="0" w:space="0" w:color="auto"/>
      </w:divBdr>
    </w:div>
    <w:div w:id="1289237173">
      <w:bodyDiv w:val="1"/>
      <w:marLeft w:val="0"/>
      <w:marRight w:val="0"/>
      <w:marTop w:val="0"/>
      <w:marBottom w:val="0"/>
      <w:divBdr>
        <w:top w:val="none" w:sz="0" w:space="0" w:color="auto"/>
        <w:left w:val="none" w:sz="0" w:space="0" w:color="auto"/>
        <w:bottom w:val="none" w:sz="0" w:space="0" w:color="auto"/>
        <w:right w:val="none" w:sz="0" w:space="0" w:color="auto"/>
      </w:divBdr>
    </w:div>
    <w:div w:id="1295674752">
      <w:bodyDiv w:val="1"/>
      <w:marLeft w:val="0"/>
      <w:marRight w:val="0"/>
      <w:marTop w:val="0"/>
      <w:marBottom w:val="0"/>
      <w:divBdr>
        <w:top w:val="none" w:sz="0" w:space="0" w:color="auto"/>
        <w:left w:val="none" w:sz="0" w:space="0" w:color="auto"/>
        <w:bottom w:val="none" w:sz="0" w:space="0" w:color="auto"/>
        <w:right w:val="none" w:sz="0" w:space="0" w:color="auto"/>
      </w:divBdr>
    </w:div>
    <w:div w:id="1303000693">
      <w:bodyDiv w:val="1"/>
      <w:marLeft w:val="0"/>
      <w:marRight w:val="0"/>
      <w:marTop w:val="0"/>
      <w:marBottom w:val="0"/>
      <w:divBdr>
        <w:top w:val="none" w:sz="0" w:space="0" w:color="auto"/>
        <w:left w:val="none" w:sz="0" w:space="0" w:color="auto"/>
        <w:bottom w:val="none" w:sz="0" w:space="0" w:color="auto"/>
        <w:right w:val="none" w:sz="0" w:space="0" w:color="auto"/>
      </w:divBdr>
    </w:div>
    <w:div w:id="1305045290">
      <w:bodyDiv w:val="1"/>
      <w:marLeft w:val="0"/>
      <w:marRight w:val="0"/>
      <w:marTop w:val="0"/>
      <w:marBottom w:val="0"/>
      <w:divBdr>
        <w:top w:val="none" w:sz="0" w:space="0" w:color="auto"/>
        <w:left w:val="none" w:sz="0" w:space="0" w:color="auto"/>
        <w:bottom w:val="none" w:sz="0" w:space="0" w:color="auto"/>
        <w:right w:val="none" w:sz="0" w:space="0" w:color="auto"/>
      </w:divBdr>
    </w:div>
    <w:div w:id="1310095918">
      <w:bodyDiv w:val="1"/>
      <w:marLeft w:val="0"/>
      <w:marRight w:val="0"/>
      <w:marTop w:val="0"/>
      <w:marBottom w:val="0"/>
      <w:divBdr>
        <w:top w:val="none" w:sz="0" w:space="0" w:color="auto"/>
        <w:left w:val="none" w:sz="0" w:space="0" w:color="auto"/>
        <w:bottom w:val="none" w:sz="0" w:space="0" w:color="auto"/>
        <w:right w:val="none" w:sz="0" w:space="0" w:color="auto"/>
      </w:divBdr>
    </w:div>
    <w:div w:id="1317880327">
      <w:bodyDiv w:val="1"/>
      <w:marLeft w:val="0"/>
      <w:marRight w:val="0"/>
      <w:marTop w:val="0"/>
      <w:marBottom w:val="0"/>
      <w:divBdr>
        <w:top w:val="none" w:sz="0" w:space="0" w:color="auto"/>
        <w:left w:val="none" w:sz="0" w:space="0" w:color="auto"/>
        <w:bottom w:val="none" w:sz="0" w:space="0" w:color="auto"/>
        <w:right w:val="none" w:sz="0" w:space="0" w:color="auto"/>
      </w:divBdr>
    </w:div>
    <w:div w:id="1319966671">
      <w:bodyDiv w:val="1"/>
      <w:marLeft w:val="0"/>
      <w:marRight w:val="0"/>
      <w:marTop w:val="0"/>
      <w:marBottom w:val="0"/>
      <w:divBdr>
        <w:top w:val="none" w:sz="0" w:space="0" w:color="auto"/>
        <w:left w:val="none" w:sz="0" w:space="0" w:color="auto"/>
        <w:bottom w:val="none" w:sz="0" w:space="0" w:color="auto"/>
        <w:right w:val="none" w:sz="0" w:space="0" w:color="auto"/>
      </w:divBdr>
    </w:div>
    <w:div w:id="1326084073">
      <w:bodyDiv w:val="1"/>
      <w:marLeft w:val="0"/>
      <w:marRight w:val="0"/>
      <w:marTop w:val="0"/>
      <w:marBottom w:val="0"/>
      <w:divBdr>
        <w:top w:val="none" w:sz="0" w:space="0" w:color="auto"/>
        <w:left w:val="none" w:sz="0" w:space="0" w:color="auto"/>
        <w:bottom w:val="none" w:sz="0" w:space="0" w:color="auto"/>
        <w:right w:val="none" w:sz="0" w:space="0" w:color="auto"/>
      </w:divBdr>
    </w:div>
    <w:div w:id="1326742617">
      <w:bodyDiv w:val="1"/>
      <w:marLeft w:val="0"/>
      <w:marRight w:val="0"/>
      <w:marTop w:val="0"/>
      <w:marBottom w:val="0"/>
      <w:divBdr>
        <w:top w:val="none" w:sz="0" w:space="0" w:color="auto"/>
        <w:left w:val="none" w:sz="0" w:space="0" w:color="auto"/>
        <w:bottom w:val="none" w:sz="0" w:space="0" w:color="auto"/>
        <w:right w:val="none" w:sz="0" w:space="0" w:color="auto"/>
      </w:divBdr>
    </w:div>
    <w:div w:id="1329212362">
      <w:bodyDiv w:val="1"/>
      <w:marLeft w:val="0"/>
      <w:marRight w:val="0"/>
      <w:marTop w:val="0"/>
      <w:marBottom w:val="0"/>
      <w:divBdr>
        <w:top w:val="none" w:sz="0" w:space="0" w:color="auto"/>
        <w:left w:val="none" w:sz="0" w:space="0" w:color="auto"/>
        <w:bottom w:val="none" w:sz="0" w:space="0" w:color="auto"/>
        <w:right w:val="none" w:sz="0" w:space="0" w:color="auto"/>
      </w:divBdr>
    </w:div>
    <w:div w:id="1333140440">
      <w:bodyDiv w:val="1"/>
      <w:marLeft w:val="0"/>
      <w:marRight w:val="0"/>
      <w:marTop w:val="0"/>
      <w:marBottom w:val="0"/>
      <w:divBdr>
        <w:top w:val="none" w:sz="0" w:space="0" w:color="auto"/>
        <w:left w:val="none" w:sz="0" w:space="0" w:color="auto"/>
        <w:bottom w:val="none" w:sz="0" w:space="0" w:color="auto"/>
        <w:right w:val="none" w:sz="0" w:space="0" w:color="auto"/>
      </w:divBdr>
    </w:div>
    <w:div w:id="1335915667">
      <w:bodyDiv w:val="1"/>
      <w:marLeft w:val="0"/>
      <w:marRight w:val="0"/>
      <w:marTop w:val="0"/>
      <w:marBottom w:val="0"/>
      <w:divBdr>
        <w:top w:val="none" w:sz="0" w:space="0" w:color="auto"/>
        <w:left w:val="none" w:sz="0" w:space="0" w:color="auto"/>
        <w:bottom w:val="none" w:sz="0" w:space="0" w:color="auto"/>
        <w:right w:val="none" w:sz="0" w:space="0" w:color="auto"/>
      </w:divBdr>
    </w:div>
    <w:div w:id="1354114044">
      <w:bodyDiv w:val="1"/>
      <w:marLeft w:val="0"/>
      <w:marRight w:val="0"/>
      <w:marTop w:val="0"/>
      <w:marBottom w:val="0"/>
      <w:divBdr>
        <w:top w:val="none" w:sz="0" w:space="0" w:color="auto"/>
        <w:left w:val="none" w:sz="0" w:space="0" w:color="auto"/>
        <w:bottom w:val="none" w:sz="0" w:space="0" w:color="auto"/>
        <w:right w:val="none" w:sz="0" w:space="0" w:color="auto"/>
      </w:divBdr>
    </w:div>
    <w:div w:id="1369797651">
      <w:bodyDiv w:val="1"/>
      <w:marLeft w:val="0"/>
      <w:marRight w:val="0"/>
      <w:marTop w:val="0"/>
      <w:marBottom w:val="0"/>
      <w:divBdr>
        <w:top w:val="none" w:sz="0" w:space="0" w:color="auto"/>
        <w:left w:val="none" w:sz="0" w:space="0" w:color="auto"/>
        <w:bottom w:val="none" w:sz="0" w:space="0" w:color="auto"/>
        <w:right w:val="none" w:sz="0" w:space="0" w:color="auto"/>
      </w:divBdr>
    </w:div>
    <w:div w:id="1379938057">
      <w:bodyDiv w:val="1"/>
      <w:marLeft w:val="0"/>
      <w:marRight w:val="0"/>
      <w:marTop w:val="0"/>
      <w:marBottom w:val="0"/>
      <w:divBdr>
        <w:top w:val="none" w:sz="0" w:space="0" w:color="auto"/>
        <w:left w:val="none" w:sz="0" w:space="0" w:color="auto"/>
        <w:bottom w:val="none" w:sz="0" w:space="0" w:color="auto"/>
        <w:right w:val="none" w:sz="0" w:space="0" w:color="auto"/>
      </w:divBdr>
    </w:div>
    <w:div w:id="1384403338">
      <w:bodyDiv w:val="1"/>
      <w:marLeft w:val="0"/>
      <w:marRight w:val="0"/>
      <w:marTop w:val="0"/>
      <w:marBottom w:val="0"/>
      <w:divBdr>
        <w:top w:val="none" w:sz="0" w:space="0" w:color="auto"/>
        <w:left w:val="none" w:sz="0" w:space="0" w:color="auto"/>
        <w:bottom w:val="none" w:sz="0" w:space="0" w:color="auto"/>
        <w:right w:val="none" w:sz="0" w:space="0" w:color="auto"/>
      </w:divBdr>
    </w:div>
    <w:div w:id="1385134274">
      <w:bodyDiv w:val="1"/>
      <w:marLeft w:val="0"/>
      <w:marRight w:val="0"/>
      <w:marTop w:val="0"/>
      <w:marBottom w:val="0"/>
      <w:divBdr>
        <w:top w:val="none" w:sz="0" w:space="0" w:color="auto"/>
        <w:left w:val="none" w:sz="0" w:space="0" w:color="auto"/>
        <w:bottom w:val="none" w:sz="0" w:space="0" w:color="auto"/>
        <w:right w:val="none" w:sz="0" w:space="0" w:color="auto"/>
      </w:divBdr>
    </w:div>
    <w:div w:id="1385831502">
      <w:bodyDiv w:val="1"/>
      <w:marLeft w:val="0"/>
      <w:marRight w:val="0"/>
      <w:marTop w:val="0"/>
      <w:marBottom w:val="0"/>
      <w:divBdr>
        <w:top w:val="none" w:sz="0" w:space="0" w:color="auto"/>
        <w:left w:val="none" w:sz="0" w:space="0" w:color="auto"/>
        <w:bottom w:val="none" w:sz="0" w:space="0" w:color="auto"/>
        <w:right w:val="none" w:sz="0" w:space="0" w:color="auto"/>
      </w:divBdr>
    </w:div>
    <w:div w:id="1395355723">
      <w:bodyDiv w:val="1"/>
      <w:marLeft w:val="0"/>
      <w:marRight w:val="0"/>
      <w:marTop w:val="0"/>
      <w:marBottom w:val="0"/>
      <w:divBdr>
        <w:top w:val="none" w:sz="0" w:space="0" w:color="auto"/>
        <w:left w:val="none" w:sz="0" w:space="0" w:color="auto"/>
        <w:bottom w:val="none" w:sz="0" w:space="0" w:color="auto"/>
        <w:right w:val="none" w:sz="0" w:space="0" w:color="auto"/>
      </w:divBdr>
    </w:div>
    <w:div w:id="1401058066">
      <w:bodyDiv w:val="1"/>
      <w:marLeft w:val="0"/>
      <w:marRight w:val="0"/>
      <w:marTop w:val="0"/>
      <w:marBottom w:val="0"/>
      <w:divBdr>
        <w:top w:val="none" w:sz="0" w:space="0" w:color="auto"/>
        <w:left w:val="none" w:sz="0" w:space="0" w:color="auto"/>
        <w:bottom w:val="none" w:sz="0" w:space="0" w:color="auto"/>
        <w:right w:val="none" w:sz="0" w:space="0" w:color="auto"/>
      </w:divBdr>
    </w:div>
    <w:div w:id="1405031635">
      <w:bodyDiv w:val="1"/>
      <w:marLeft w:val="0"/>
      <w:marRight w:val="0"/>
      <w:marTop w:val="0"/>
      <w:marBottom w:val="0"/>
      <w:divBdr>
        <w:top w:val="none" w:sz="0" w:space="0" w:color="auto"/>
        <w:left w:val="none" w:sz="0" w:space="0" w:color="auto"/>
        <w:bottom w:val="none" w:sz="0" w:space="0" w:color="auto"/>
        <w:right w:val="none" w:sz="0" w:space="0" w:color="auto"/>
      </w:divBdr>
    </w:div>
    <w:div w:id="1411151848">
      <w:bodyDiv w:val="1"/>
      <w:marLeft w:val="0"/>
      <w:marRight w:val="0"/>
      <w:marTop w:val="0"/>
      <w:marBottom w:val="0"/>
      <w:divBdr>
        <w:top w:val="none" w:sz="0" w:space="0" w:color="auto"/>
        <w:left w:val="none" w:sz="0" w:space="0" w:color="auto"/>
        <w:bottom w:val="none" w:sz="0" w:space="0" w:color="auto"/>
        <w:right w:val="none" w:sz="0" w:space="0" w:color="auto"/>
      </w:divBdr>
    </w:div>
    <w:div w:id="1434479142">
      <w:bodyDiv w:val="1"/>
      <w:marLeft w:val="0"/>
      <w:marRight w:val="0"/>
      <w:marTop w:val="0"/>
      <w:marBottom w:val="0"/>
      <w:divBdr>
        <w:top w:val="none" w:sz="0" w:space="0" w:color="auto"/>
        <w:left w:val="none" w:sz="0" w:space="0" w:color="auto"/>
        <w:bottom w:val="none" w:sz="0" w:space="0" w:color="auto"/>
        <w:right w:val="none" w:sz="0" w:space="0" w:color="auto"/>
      </w:divBdr>
    </w:div>
    <w:div w:id="1446002143">
      <w:bodyDiv w:val="1"/>
      <w:marLeft w:val="0"/>
      <w:marRight w:val="0"/>
      <w:marTop w:val="0"/>
      <w:marBottom w:val="0"/>
      <w:divBdr>
        <w:top w:val="none" w:sz="0" w:space="0" w:color="auto"/>
        <w:left w:val="none" w:sz="0" w:space="0" w:color="auto"/>
        <w:bottom w:val="none" w:sz="0" w:space="0" w:color="auto"/>
        <w:right w:val="none" w:sz="0" w:space="0" w:color="auto"/>
      </w:divBdr>
    </w:div>
    <w:div w:id="1449739386">
      <w:bodyDiv w:val="1"/>
      <w:marLeft w:val="0"/>
      <w:marRight w:val="0"/>
      <w:marTop w:val="0"/>
      <w:marBottom w:val="0"/>
      <w:divBdr>
        <w:top w:val="none" w:sz="0" w:space="0" w:color="auto"/>
        <w:left w:val="none" w:sz="0" w:space="0" w:color="auto"/>
        <w:bottom w:val="none" w:sz="0" w:space="0" w:color="auto"/>
        <w:right w:val="none" w:sz="0" w:space="0" w:color="auto"/>
      </w:divBdr>
    </w:div>
    <w:div w:id="1461609409">
      <w:bodyDiv w:val="1"/>
      <w:marLeft w:val="0"/>
      <w:marRight w:val="0"/>
      <w:marTop w:val="0"/>
      <w:marBottom w:val="0"/>
      <w:divBdr>
        <w:top w:val="none" w:sz="0" w:space="0" w:color="auto"/>
        <w:left w:val="none" w:sz="0" w:space="0" w:color="auto"/>
        <w:bottom w:val="none" w:sz="0" w:space="0" w:color="auto"/>
        <w:right w:val="none" w:sz="0" w:space="0" w:color="auto"/>
      </w:divBdr>
    </w:div>
    <w:div w:id="1486972410">
      <w:bodyDiv w:val="1"/>
      <w:marLeft w:val="0"/>
      <w:marRight w:val="0"/>
      <w:marTop w:val="0"/>
      <w:marBottom w:val="0"/>
      <w:divBdr>
        <w:top w:val="none" w:sz="0" w:space="0" w:color="auto"/>
        <w:left w:val="none" w:sz="0" w:space="0" w:color="auto"/>
        <w:bottom w:val="none" w:sz="0" w:space="0" w:color="auto"/>
        <w:right w:val="none" w:sz="0" w:space="0" w:color="auto"/>
      </w:divBdr>
    </w:div>
    <w:div w:id="1492525061">
      <w:bodyDiv w:val="1"/>
      <w:marLeft w:val="0"/>
      <w:marRight w:val="0"/>
      <w:marTop w:val="0"/>
      <w:marBottom w:val="0"/>
      <w:divBdr>
        <w:top w:val="none" w:sz="0" w:space="0" w:color="auto"/>
        <w:left w:val="none" w:sz="0" w:space="0" w:color="auto"/>
        <w:bottom w:val="none" w:sz="0" w:space="0" w:color="auto"/>
        <w:right w:val="none" w:sz="0" w:space="0" w:color="auto"/>
      </w:divBdr>
    </w:div>
    <w:div w:id="1493334215">
      <w:bodyDiv w:val="1"/>
      <w:marLeft w:val="0"/>
      <w:marRight w:val="0"/>
      <w:marTop w:val="0"/>
      <w:marBottom w:val="0"/>
      <w:divBdr>
        <w:top w:val="none" w:sz="0" w:space="0" w:color="auto"/>
        <w:left w:val="none" w:sz="0" w:space="0" w:color="auto"/>
        <w:bottom w:val="none" w:sz="0" w:space="0" w:color="auto"/>
        <w:right w:val="none" w:sz="0" w:space="0" w:color="auto"/>
      </w:divBdr>
    </w:div>
    <w:div w:id="1497767808">
      <w:bodyDiv w:val="1"/>
      <w:marLeft w:val="0"/>
      <w:marRight w:val="0"/>
      <w:marTop w:val="0"/>
      <w:marBottom w:val="0"/>
      <w:divBdr>
        <w:top w:val="none" w:sz="0" w:space="0" w:color="auto"/>
        <w:left w:val="none" w:sz="0" w:space="0" w:color="auto"/>
        <w:bottom w:val="none" w:sz="0" w:space="0" w:color="auto"/>
        <w:right w:val="none" w:sz="0" w:space="0" w:color="auto"/>
      </w:divBdr>
    </w:div>
    <w:div w:id="1505972310">
      <w:bodyDiv w:val="1"/>
      <w:marLeft w:val="0"/>
      <w:marRight w:val="0"/>
      <w:marTop w:val="0"/>
      <w:marBottom w:val="0"/>
      <w:divBdr>
        <w:top w:val="none" w:sz="0" w:space="0" w:color="auto"/>
        <w:left w:val="none" w:sz="0" w:space="0" w:color="auto"/>
        <w:bottom w:val="none" w:sz="0" w:space="0" w:color="auto"/>
        <w:right w:val="none" w:sz="0" w:space="0" w:color="auto"/>
      </w:divBdr>
    </w:div>
    <w:div w:id="1506939977">
      <w:bodyDiv w:val="1"/>
      <w:marLeft w:val="0"/>
      <w:marRight w:val="0"/>
      <w:marTop w:val="0"/>
      <w:marBottom w:val="0"/>
      <w:divBdr>
        <w:top w:val="none" w:sz="0" w:space="0" w:color="auto"/>
        <w:left w:val="none" w:sz="0" w:space="0" w:color="auto"/>
        <w:bottom w:val="none" w:sz="0" w:space="0" w:color="auto"/>
        <w:right w:val="none" w:sz="0" w:space="0" w:color="auto"/>
      </w:divBdr>
    </w:div>
    <w:div w:id="1518076864">
      <w:bodyDiv w:val="1"/>
      <w:marLeft w:val="0"/>
      <w:marRight w:val="0"/>
      <w:marTop w:val="0"/>
      <w:marBottom w:val="0"/>
      <w:divBdr>
        <w:top w:val="none" w:sz="0" w:space="0" w:color="auto"/>
        <w:left w:val="none" w:sz="0" w:space="0" w:color="auto"/>
        <w:bottom w:val="none" w:sz="0" w:space="0" w:color="auto"/>
        <w:right w:val="none" w:sz="0" w:space="0" w:color="auto"/>
      </w:divBdr>
    </w:div>
    <w:div w:id="1525288940">
      <w:bodyDiv w:val="1"/>
      <w:marLeft w:val="0"/>
      <w:marRight w:val="0"/>
      <w:marTop w:val="0"/>
      <w:marBottom w:val="0"/>
      <w:divBdr>
        <w:top w:val="none" w:sz="0" w:space="0" w:color="auto"/>
        <w:left w:val="none" w:sz="0" w:space="0" w:color="auto"/>
        <w:bottom w:val="none" w:sz="0" w:space="0" w:color="auto"/>
        <w:right w:val="none" w:sz="0" w:space="0" w:color="auto"/>
      </w:divBdr>
    </w:div>
    <w:div w:id="1540361980">
      <w:bodyDiv w:val="1"/>
      <w:marLeft w:val="0"/>
      <w:marRight w:val="0"/>
      <w:marTop w:val="0"/>
      <w:marBottom w:val="0"/>
      <w:divBdr>
        <w:top w:val="none" w:sz="0" w:space="0" w:color="auto"/>
        <w:left w:val="none" w:sz="0" w:space="0" w:color="auto"/>
        <w:bottom w:val="none" w:sz="0" w:space="0" w:color="auto"/>
        <w:right w:val="none" w:sz="0" w:space="0" w:color="auto"/>
      </w:divBdr>
    </w:div>
    <w:div w:id="1561332173">
      <w:bodyDiv w:val="1"/>
      <w:marLeft w:val="0"/>
      <w:marRight w:val="0"/>
      <w:marTop w:val="0"/>
      <w:marBottom w:val="0"/>
      <w:divBdr>
        <w:top w:val="none" w:sz="0" w:space="0" w:color="auto"/>
        <w:left w:val="none" w:sz="0" w:space="0" w:color="auto"/>
        <w:bottom w:val="none" w:sz="0" w:space="0" w:color="auto"/>
        <w:right w:val="none" w:sz="0" w:space="0" w:color="auto"/>
      </w:divBdr>
    </w:div>
    <w:div w:id="1568372956">
      <w:bodyDiv w:val="1"/>
      <w:marLeft w:val="0"/>
      <w:marRight w:val="0"/>
      <w:marTop w:val="0"/>
      <w:marBottom w:val="0"/>
      <w:divBdr>
        <w:top w:val="none" w:sz="0" w:space="0" w:color="auto"/>
        <w:left w:val="none" w:sz="0" w:space="0" w:color="auto"/>
        <w:bottom w:val="none" w:sz="0" w:space="0" w:color="auto"/>
        <w:right w:val="none" w:sz="0" w:space="0" w:color="auto"/>
      </w:divBdr>
      <w:divsChild>
        <w:div w:id="1110248768">
          <w:marLeft w:val="0"/>
          <w:marRight w:val="0"/>
          <w:marTop w:val="0"/>
          <w:marBottom w:val="0"/>
          <w:divBdr>
            <w:top w:val="none" w:sz="0" w:space="0" w:color="auto"/>
            <w:left w:val="none" w:sz="0" w:space="0" w:color="auto"/>
            <w:bottom w:val="none" w:sz="0" w:space="0" w:color="auto"/>
            <w:right w:val="none" w:sz="0" w:space="0" w:color="auto"/>
          </w:divBdr>
          <w:divsChild>
            <w:div w:id="970475984">
              <w:marLeft w:val="0"/>
              <w:marRight w:val="0"/>
              <w:marTop w:val="0"/>
              <w:marBottom w:val="0"/>
              <w:divBdr>
                <w:top w:val="none" w:sz="0" w:space="0" w:color="auto"/>
                <w:left w:val="none" w:sz="0" w:space="0" w:color="auto"/>
                <w:bottom w:val="none" w:sz="0" w:space="0" w:color="auto"/>
                <w:right w:val="none" w:sz="0" w:space="0" w:color="auto"/>
              </w:divBdr>
              <w:divsChild>
                <w:div w:id="1146245387">
                  <w:marLeft w:val="0"/>
                  <w:marRight w:val="0"/>
                  <w:marTop w:val="0"/>
                  <w:marBottom w:val="0"/>
                  <w:divBdr>
                    <w:top w:val="dotted" w:sz="6" w:space="8" w:color="999999"/>
                    <w:left w:val="dotted" w:sz="6" w:space="8" w:color="999999"/>
                    <w:bottom w:val="dotted" w:sz="6" w:space="8" w:color="999999"/>
                    <w:right w:val="dotted" w:sz="6" w:space="8" w:color="999999"/>
                  </w:divBdr>
                  <w:divsChild>
                    <w:div w:id="717322263">
                      <w:marLeft w:val="0"/>
                      <w:marRight w:val="0"/>
                      <w:marTop w:val="0"/>
                      <w:marBottom w:val="0"/>
                      <w:divBdr>
                        <w:top w:val="none" w:sz="0" w:space="0" w:color="auto"/>
                        <w:left w:val="none" w:sz="0" w:space="0" w:color="auto"/>
                        <w:bottom w:val="none" w:sz="0" w:space="0" w:color="auto"/>
                        <w:right w:val="none" w:sz="0" w:space="0" w:color="auto"/>
                      </w:divBdr>
                      <w:divsChild>
                        <w:div w:id="18913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0065">
      <w:bodyDiv w:val="1"/>
      <w:marLeft w:val="0"/>
      <w:marRight w:val="0"/>
      <w:marTop w:val="0"/>
      <w:marBottom w:val="0"/>
      <w:divBdr>
        <w:top w:val="none" w:sz="0" w:space="0" w:color="auto"/>
        <w:left w:val="none" w:sz="0" w:space="0" w:color="auto"/>
        <w:bottom w:val="none" w:sz="0" w:space="0" w:color="auto"/>
        <w:right w:val="none" w:sz="0" w:space="0" w:color="auto"/>
      </w:divBdr>
    </w:div>
    <w:div w:id="1573928579">
      <w:bodyDiv w:val="1"/>
      <w:marLeft w:val="0"/>
      <w:marRight w:val="0"/>
      <w:marTop w:val="0"/>
      <w:marBottom w:val="0"/>
      <w:divBdr>
        <w:top w:val="none" w:sz="0" w:space="0" w:color="auto"/>
        <w:left w:val="none" w:sz="0" w:space="0" w:color="auto"/>
        <w:bottom w:val="none" w:sz="0" w:space="0" w:color="auto"/>
        <w:right w:val="none" w:sz="0" w:space="0" w:color="auto"/>
      </w:divBdr>
    </w:div>
    <w:div w:id="1575434860">
      <w:bodyDiv w:val="1"/>
      <w:marLeft w:val="0"/>
      <w:marRight w:val="0"/>
      <w:marTop w:val="0"/>
      <w:marBottom w:val="0"/>
      <w:divBdr>
        <w:top w:val="none" w:sz="0" w:space="0" w:color="auto"/>
        <w:left w:val="none" w:sz="0" w:space="0" w:color="auto"/>
        <w:bottom w:val="none" w:sz="0" w:space="0" w:color="auto"/>
        <w:right w:val="none" w:sz="0" w:space="0" w:color="auto"/>
      </w:divBdr>
    </w:div>
    <w:div w:id="1581018172">
      <w:bodyDiv w:val="1"/>
      <w:marLeft w:val="0"/>
      <w:marRight w:val="0"/>
      <w:marTop w:val="0"/>
      <w:marBottom w:val="0"/>
      <w:divBdr>
        <w:top w:val="none" w:sz="0" w:space="0" w:color="auto"/>
        <w:left w:val="none" w:sz="0" w:space="0" w:color="auto"/>
        <w:bottom w:val="none" w:sz="0" w:space="0" w:color="auto"/>
        <w:right w:val="none" w:sz="0" w:space="0" w:color="auto"/>
      </w:divBdr>
    </w:div>
    <w:div w:id="1589803585">
      <w:bodyDiv w:val="1"/>
      <w:marLeft w:val="0"/>
      <w:marRight w:val="0"/>
      <w:marTop w:val="0"/>
      <w:marBottom w:val="0"/>
      <w:divBdr>
        <w:top w:val="none" w:sz="0" w:space="0" w:color="auto"/>
        <w:left w:val="none" w:sz="0" w:space="0" w:color="auto"/>
        <w:bottom w:val="none" w:sz="0" w:space="0" w:color="auto"/>
        <w:right w:val="none" w:sz="0" w:space="0" w:color="auto"/>
      </w:divBdr>
    </w:div>
    <w:div w:id="1613321078">
      <w:bodyDiv w:val="1"/>
      <w:marLeft w:val="0"/>
      <w:marRight w:val="0"/>
      <w:marTop w:val="0"/>
      <w:marBottom w:val="0"/>
      <w:divBdr>
        <w:top w:val="none" w:sz="0" w:space="0" w:color="auto"/>
        <w:left w:val="none" w:sz="0" w:space="0" w:color="auto"/>
        <w:bottom w:val="none" w:sz="0" w:space="0" w:color="auto"/>
        <w:right w:val="none" w:sz="0" w:space="0" w:color="auto"/>
      </w:divBdr>
    </w:div>
    <w:div w:id="1618682476">
      <w:bodyDiv w:val="1"/>
      <w:marLeft w:val="0"/>
      <w:marRight w:val="0"/>
      <w:marTop w:val="0"/>
      <w:marBottom w:val="0"/>
      <w:divBdr>
        <w:top w:val="none" w:sz="0" w:space="0" w:color="auto"/>
        <w:left w:val="none" w:sz="0" w:space="0" w:color="auto"/>
        <w:bottom w:val="none" w:sz="0" w:space="0" w:color="auto"/>
        <w:right w:val="none" w:sz="0" w:space="0" w:color="auto"/>
      </w:divBdr>
    </w:div>
    <w:div w:id="1626350608">
      <w:bodyDiv w:val="1"/>
      <w:marLeft w:val="0"/>
      <w:marRight w:val="0"/>
      <w:marTop w:val="0"/>
      <w:marBottom w:val="0"/>
      <w:divBdr>
        <w:top w:val="none" w:sz="0" w:space="0" w:color="auto"/>
        <w:left w:val="none" w:sz="0" w:space="0" w:color="auto"/>
        <w:bottom w:val="none" w:sz="0" w:space="0" w:color="auto"/>
        <w:right w:val="none" w:sz="0" w:space="0" w:color="auto"/>
      </w:divBdr>
    </w:div>
    <w:div w:id="1626808404">
      <w:bodyDiv w:val="1"/>
      <w:marLeft w:val="0"/>
      <w:marRight w:val="0"/>
      <w:marTop w:val="0"/>
      <w:marBottom w:val="0"/>
      <w:divBdr>
        <w:top w:val="none" w:sz="0" w:space="0" w:color="auto"/>
        <w:left w:val="none" w:sz="0" w:space="0" w:color="auto"/>
        <w:bottom w:val="none" w:sz="0" w:space="0" w:color="auto"/>
        <w:right w:val="none" w:sz="0" w:space="0" w:color="auto"/>
      </w:divBdr>
    </w:div>
    <w:div w:id="1633317955">
      <w:bodyDiv w:val="1"/>
      <w:marLeft w:val="0"/>
      <w:marRight w:val="0"/>
      <w:marTop w:val="0"/>
      <w:marBottom w:val="0"/>
      <w:divBdr>
        <w:top w:val="none" w:sz="0" w:space="0" w:color="auto"/>
        <w:left w:val="none" w:sz="0" w:space="0" w:color="auto"/>
        <w:bottom w:val="none" w:sz="0" w:space="0" w:color="auto"/>
        <w:right w:val="none" w:sz="0" w:space="0" w:color="auto"/>
      </w:divBdr>
    </w:div>
    <w:div w:id="1642153128">
      <w:bodyDiv w:val="1"/>
      <w:marLeft w:val="0"/>
      <w:marRight w:val="0"/>
      <w:marTop w:val="0"/>
      <w:marBottom w:val="0"/>
      <w:divBdr>
        <w:top w:val="none" w:sz="0" w:space="0" w:color="auto"/>
        <w:left w:val="none" w:sz="0" w:space="0" w:color="auto"/>
        <w:bottom w:val="none" w:sz="0" w:space="0" w:color="auto"/>
        <w:right w:val="none" w:sz="0" w:space="0" w:color="auto"/>
      </w:divBdr>
      <w:divsChild>
        <w:div w:id="17049869">
          <w:marLeft w:val="0"/>
          <w:marRight w:val="0"/>
          <w:marTop w:val="0"/>
          <w:marBottom w:val="0"/>
          <w:divBdr>
            <w:top w:val="none" w:sz="0" w:space="0" w:color="auto"/>
            <w:left w:val="none" w:sz="0" w:space="0" w:color="auto"/>
            <w:bottom w:val="none" w:sz="0" w:space="0" w:color="auto"/>
            <w:right w:val="none" w:sz="0" w:space="0" w:color="auto"/>
          </w:divBdr>
        </w:div>
        <w:div w:id="296304617">
          <w:marLeft w:val="0"/>
          <w:marRight w:val="0"/>
          <w:marTop w:val="0"/>
          <w:marBottom w:val="0"/>
          <w:divBdr>
            <w:top w:val="none" w:sz="0" w:space="0" w:color="auto"/>
            <w:left w:val="none" w:sz="0" w:space="0" w:color="auto"/>
            <w:bottom w:val="none" w:sz="0" w:space="0" w:color="auto"/>
            <w:right w:val="none" w:sz="0" w:space="0" w:color="auto"/>
          </w:divBdr>
          <w:divsChild>
            <w:div w:id="358968652">
              <w:marLeft w:val="0"/>
              <w:marRight w:val="0"/>
              <w:marTop w:val="0"/>
              <w:marBottom w:val="0"/>
              <w:divBdr>
                <w:top w:val="none" w:sz="0" w:space="0" w:color="auto"/>
                <w:left w:val="none" w:sz="0" w:space="0" w:color="auto"/>
                <w:bottom w:val="none" w:sz="0" w:space="0" w:color="auto"/>
                <w:right w:val="none" w:sz="0" w:space="0" w:color="auto"/>
              </w:divBdr>
            </w:div>
            <w:div w:id="1803159072">
              <w:marLeft w:val="0"/>
              <w:marRight w:val="0"/>
              <w:marTop w:val="0"/>
              <w:marBottom w:val="0"/>
              <w:divBdr>
                <w:top w:val="none" w:sz="0" w:space="0" w:color="auto"/>
                <w:left w:val="none" w:sz="0" w:space="0" w:color="auto"/>
                <w:bottom w:val="none" w:sz="0" w:space="0" w:color="auto"/>
                <w:right w:val="none" w:sz="0" w:space="0" w:color="auto"/>
              </w:divBdr>
            </w:div>
            <w:div w:id="1871144587">
              <w:marLeft w:val="0"/>
              <w:marRight w:val="0"/>
              <w:marTop w:val="0"/>
              <w:marBottom w:val="0"/>
              <w:divBdr>
                <w:top w:val="none" w:sz="0" w:space="0" w:color="auto"/>
                <w:left w:val="none" w:sz="0" w:space="0" w:color="auto"/>
                <w:bottom w:val="none" w:sz="0" w:space="0" w:color="auto"/>
                <w:right w:val="none" w:sz="0" w:space="0" w:color="auto"/>
              </w:divBdr>
              <w:divsChild>
                <w:div w:id="2034837836">
                  <w:marLeft w:val="0"/>
                  <w:marRight w:val="0"/>
                  <w:marTop w:val="0"/>
                  <w:marBottom w:val="0"/>
                  <w:divBdr>
                    <w:top w:val="none" w:sz="0" w:space="0" w:color="auto"/>
                    <w:left w:val="none" w:sz="0" w:space="0" w:color="auto"/>
                    <w:bottom w:val="none" w:sz="0" w:space="0" w:color="auto"/>
                    <w:right w:val="none" w:sz="0" w:space="0" w:color="auto"/>
                  </w:divBdr>
                  <w:divsChild>
                    <w:div w:id="316424017">
                      <w:marLeft w:val="0"/>
                      <w:marRight w:val="0"/>
                      <w:marTop w:val="0"/>
                      <w:marBottom w:val="0"/>
                      <w:divBdr>
                        <w:top w:val="none" w:sz="0" w:space="0" w:color="auto"/>
                        <w:left w:val="none" w:sz="0" w:space="0" w:color="auto"/>
                        <w:bottom w:val="none" w:sz="0" w:space="0" w:color="auto"/>
                        <w:right w:val="none" w:sz="0" w:space="0" w:color="auto"/>
                      </w:divBdr>
                    </w:div>
                    <w:div w:id="1637640222">
                      <w:marLeft w:val="0"/>
                      <w:marRight w:val="0"/>
                      <w:marTop w:val="0"/>
                      <w:marBottom w:val="0"/>
                      <w:divBdr>
                        <w:top w:val="none" w:sz="0" w:space="0" w:color="auto"/>
                        <w:left w:val="none" w:sz="0" w:space="0" w:color="auto"/>
                        <w:bottom w:val="none" w:sz="0" w:space="0" w:color="auto"/>
                        <w:right w:val="none" w:sz="0" w:space="0" w:color="auto"/>
                      </w:divBdr>
                      <w:divsChild>
                        <w:div w:id="282536273">
                          <w:marLeft w:val="0"/>
                          <w:marRight w:val="0"/>
                          <w:marTop w:val="0"/>
                          <w:marBottom w:val="0"/>
                          <w:divBdr>
                            <w:top w:val="none" w:sz="0" w:space="0" w:color="auto"/>
                            <w:left w:val="none" w:sz="0" w:space="0" w:color="auto"/>
                            <w:bottom w:val="none" w:sz="0" w:space="0" w:color="auto"/>
                            <w:right w:val="none" w:sz="0" w:space="0" w:color="auto"/>
                          </w:divBdr>
                        </w:div>
                        <w:div w:id="418063620">
                          <w:marLeft w:val="0"/>
                          <w:marRight w:val="0"/>
                          <w:marTop w:val="0"/>
                          <w:marBottom w:val="0"/>
                          <w:divBdr>
                            <w:top w:val="none" w:sz="0" w:space="0" w:color="auto"/>
                            <w:left w:val="none" w:sz="0" w:space="0" w:color="auto"/>
                            <w:bottom w:val="none" w:sz="0" w:space="0" w:color="auto"/>
                            <w:right w:val="none" w:sz="0" w:space="0" w:color="auto"/>
                          </w:divBdr>
                        </w:div>
                        <w:div w:id="595527172">
                          <w:marLeft w:val="0"/>
                          <w:marRight w:val="0"/>
                          <w:marTop w:val="0"/>
                          <w:marBottom w:val="0"/>
                          <w:divBdr>
                            <w:top w:val="none" w:sz="0" w:space="0" w:color="auto"/>
                            <w:left w:val="none" w:sz="0" w:space="0" w:color="auto"/>
                            <w:bottom w:val="none" w:sz="0" w:space="0" w:color="auto"/>
                            <w:right w:val="none" w:sz="0" w:space="0" w:color="auto"/>
                          </w:divBdr>
                          <w:divsChild>
                            <w:div w:id="569191763">
                              <w:marLeft w:val="0"/>
                              <w:marRight w:val="0"/>
                              <w:marTop w:val="0"/>
                              <w:marBottom w:val="0"/>
                              <w:divBdr>
                                <w:top w:val="none" w:sz="0" w:space="0" w:color="auto"/>
                                <w:left w:val="none" w:sz="0" w:space="0" w:color="auto"/>
                                <w:bottom w:val="none" w:sz="0" w:space="0" w:color="auto"/>
                                <w:right w:val="none" w:sz="0" w:space="0" w:color="auto"/>
                              </w:divBdr>
                            </w:div>
                            <w:div w:id="992178127">
                              <w:marLeft w:val="0"/>
                              <w:marRight w:val="0"/>
                              <w:marTop w:val="0"/>
                              <w:marBottom w:val="0"/>
                              <w:divBdr>
                                <w:top w:val="none" w:sz="0" w:space="0" w:color="auto"/>
                                <w:left w:val="none" w:sz="0" w:space="0" w:color="auto"/>
                                <w:bottom w:val="none" w:sz="0" w:space="0" w:color="auto"/>
                                <w:right w:val="none" w:sz="0" w:space="0" w:color="auto"/>
                              </w:divBdr>
                            </w:div>
                            <w:div w:id="1505315616">
                              <w:marLeft w:val="0"/>
                              <w:marRight w:val="0"/>
                              <w:marTop w:val="0"/>
                              <w:marBottom w:val="0"/>
                              <w:divBdr>
                                <w:top w:val="none" w:sz="0" w:space="0" w:color="auto"/>
                                <w:left w:val="none" w:sz="0" w:space="0" w:color="auto"/>
                                <w:bottom w:val="none" w:sz="0" w:space="0" w:color="auto"/>
                                <w:right w:val="none" w:sz="0" w:space="0" w:color="auto"/>
                              </w:divBdr>
                            </w:div>
                            <w:div w:id="1575313279">
                              <w:marLeft w:val="0"/>
                              <w:marRight w:val="0"/>
                              <w:marTop w:val="0"/>
                              <w:marBottom w:val="0"/>
                              <w:divBdr>
                                <w:top w:val="none" w:sz="0" w:space="0" w:color="auto"/>
                                <w:left w:val="none" w:sz="0" w:space="0" w:color="auto"/>
                                <w:bottom w:val="none" w:sz="0" w:space="0" w:color="auto"/>
                                <w:right w:val="none" w:sz="0" w:space="0" w:color="auto"/>
                              </w:divBdr>
                              <w:divsChild>
                                <w:div w:id="1084456301">
                                  <w:marLeft w:val="0"/>
                                  <w:marRight w:val="0"/>
                                  <w:marTop w:val="0"/>
                                  <w:marBottom w:val="0"/>
                                  <w:divBdr>
                                    <w:top w:val="none" w:sz="0" w:space="0" w:color="auto"/>
                                    <w:left w:val="none" w:sz="0" w:space="0" w:color="auto"/>
                                    <w:bottom w:val="none" w:sz="0" w:space="0" w:color="auto"/>
                                    <w:right w:val="none" w:sz="0" w:space="0" w:color="auto"/>
                                  </w:divBdr>
                                  <w:divsChild>
                                    <w:div w:id="1805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455525">
      <w:bodyDiv w:val="1"/>
      <w:marLeft w:val="0"/>
      <w:marRight w:val="0"/>
      <w:marTop w:val="0"/>
      <w:marBottom w:val="0"/>
      <w:divBdr>
        <w:top w:val="none" w:sz="0" w:space="0" w:color="auto"/>
        <w:left w:val="none" w:sz="0" w:space="0" w:color="auto"/>
        <w:bottom w:val="none" w:sz="0" w:space="0" w:color="auto"/>
        <w:right w:val="none" w:sz="0" w:space="0" w:color="auto"/>
      </w:divBdr>
    </w:div>
    <w:div w:id="1656642551">
      <w:bodyDiv w:val="1"/>
      <w:marLeft w:val="0"/>
      <w:marRight w:val="0"/>
      <w:marTop w:val="0"/>
      <w:marBottom w:val="0"/>
      <w:divBdr>
        <w:top w:val="none" w:sz="0" w:space="0" w:color="auto"/>
        <w:left w:val="none" w:sz="0" w:space="0" w:color="auto"/>
        <w:bottom w:val="none" w:sz="0" w:space="0" w:color="auto"/>
        <w:right w:val="none" w:sz="0" w:space="0" w:color="auto"/>
      </w:divBdr>
    </w:div>
    <w:div w:id="1666015017">
      <w:bodyDiv w:val="1"/>
      <w:marLeft w:val="0"/>
      <w:marRight w:val="0"/>
      <w:marTop w:val="0"/>
      <w:marBottom w:val="0"/>
      <w:divBdr>
        <w:top w:val="none" w:sz="0" w:space="0" w:color="auto"/>
        <w:left w:val="none" w:sz="0" w:space="0" w:color="auto"/>
        <w:bottom w:val="none" w:sz="0" w:space="0" w:color="auto"/>
        <w:right w:val="none" w:sz="0" w:space="0" w:color="auto"/>
      </w:divBdr>
    </w:div>
    <w:div w:id="1669669723">
      <w:bodyDiv w:val="1"/>
      <w:marLeft w:val="0"/>
      <w:marRight w:val="0"/>
      <w:marTop w:val="0"/>
      <w:marBottom w:val="0"/>
      <w:divBdr>
        <w:top w:val="none" w:sz="0" w:space="0" w:color="auto"/>
        <w:left w:val="none" w:sz="0" w:space="0" w:color="auto"/>
        <w:bottom w:val="none" w:sz="0" w:space="0" w:color="auto"/>
        <w:right w:val="none" w:sz="0" w:space="0" w:color="auto"/>
      </w:divBdr>
    </w:div>
    <w:div w:id="1674794641">
      <w:bodyDiv w:val="1"/>
      <w:marLeft w:val="0"/>
      <w:marRight w:val="0"/>
      <w:marTop w:val="0"/>
      <w:marBottom w:val="0"/>
      <w:divBdr>
        <w:top w:val="none" w:sz="0" w:space="0" w:color="auto"/>
        <w:left w:val="none" w:sz="0" w:space="0" w:color="auto"/>
        <w:bottom w:val="none" w:sz="0" w:space="0" w:color="auto"/>
        <w:right w:val="none" w:sz="0" w:space="0" w:color="auto"/>
      </w:divBdr>
    </w:div>
    <w:div w:id="1675955560">
      <w:bodyDiv w:val="1"/>
      <w:marLeft w:val="0"/>
      <w:marRight w:val="0"/>
      <w:marTop w:val="0"/>
      <w:marBottom w:val="0"/>
      <w:divBdr>
        <w:top w:val="none" w:sz="0" w:space="0" w:color="auto"/>
        <w:left w:val="none" w:sz="0" w:space="0" w:color="auto"/>
        <w:bottom w:val="none" w:sz="0" w:space="0" w:color="auto"/>
        <w:right w:val="none" w:sz="0" w:space="0" w:color="auto"/>
      </w:divBdr>
    </w:div>
    <w:div w:id="1688094749">
      <w:bodyDiv w:val="1"/>
      <w:marLeft w:val="0"/>
      <w:marRight w:val="0"/>
      <w:marTop w:val="0"/>
      <w:marBottom w:val="0"/>
      <w:divBdr>
        <w:top w:val="none" w:sz="0" w:space="0" w:color="auto"/>
        <w:left w:val="none" w:sz="0" w:space="0" w:color="auto"/>
        <w:bottom w:val="none" w:sz="0" w:space="0" w:color="auto"/>
        <w:right w:val="none" w:sz="0" w:space="0" w:color="auto"/>
      </w:divBdr>
      <w:divsChild>
        <w:div w:id="372997449">
          <w:marLeft w:val="0"/>
          <w:marRight w:val="0"/>
          <w:marTop w:val="0"/>
          <w:marBottom w:val="0"/>
          <w:divBdr>
            <w:top w:val="none" w:sz="0" w:space="0" w:color="auto"/>
            <w:left w:val="none" w:sz="0" w:space="0" w:color="auto"/>
            <w:bottom w:val="none" w:sz="0" w:space="0" w:color="auto"/>
            <w:right w:val="none" w:sz="0" w:space="0" w:color="auto"/>
          </w:divBdr>
        </w:div>
        <w:div w:id="480849035">
          <w:marLeft w:val="0"/>
          <w:marRight w:val="0"/>
          <w:marTop w:val="0"/>
          <w:marBottom w:val="0"/>
          <w:divBdr>
            <w:top w:val="none" w:sz="0" w:space="0" w:color="auto"/>
            <w:left w:val="none" w:sz="0" w:space="0" w:color="auto"/>
            <w:bottom w:val="none" w:sz="0" w:space="0" w:color="auto"/>
            <w:right w:val="none" w:sz="0" w:space="0" w:color="auto"/>
          </w:divBdr>
          <w:divsChild>
            <w:div w:id="761994723">
              <w:marLeft w:val="0"/>
              <w:marRight w:val="0"/>
              <w:marTop w:val="0"/>
              <w:marBottom w:val="0"/>
              <w:divBdr>
                <w:top w:val="none" w:sz="0" w:space="0" w:color="auto"/>
                <w:left w:val="none" w:sz="0" w:space="0" w:color="auto"/>
                <w:bottom w:val="none" w:sz="0" w:space="0" w:color="auto"/>
                <w:right w:val="none" w:sz="0" w:space="0" w:color="auto"/>
              </w:divBdr>
              <w:divsChild>
                <w:div w:id="180290532">
                  <w:marLeft w:val="0"/>
                  <w:marRight w:val="0"/>
                  <w:marTop w:val="0"/>
                  <w:marBottom w:val="0"/>
                  <w:divBdr>
                    <w:top w:val="none" w:sz="0" w:space="0" w:color="auto"/>
                    <w:left w:val="none" w:sz="0" w:space="0" w:color="auto"/>
                    <w:bottom w:val="none" w:sz="0" w:space="0" w:color="auto"/>
                    <w:right w:val="none" w:sz="0" w:space="0" w:color="auto"/>
                  </w:divBdr>
                </w:div>
                <w:div w:id="1111318296">
                  <w:marLeft w:val="0"/>
                  <w:marRight w:val="0"/>
                  <w:marTop w:val="0"/>
                  <w:marBottom w:val="0"/>
                  <w:divBdr>
                    <w:top w:val="none" w:sz="0" w:space="0" w:color="auto"/>
                    <w:left w:val="none" w:sz="0" w:space="0" w:color="auto"/>
                    <w:bottom w:val="none" w:sz="0" w:space="0" w:color="auto"/>
                    <w:right w:val="none" w:sz="0" w:space="0" w:color="auto"/>
                  </w:divBdr>
                  <w:divsChild>
                    <w:div w:id="1228761194">
                      <w:marLeft w:val="0"/>
                      <w:marRight w:val="0"/>
                      <w:marTop w:val="0"/>
                      <w:marBottom w:val="0"/>
                      <w:divBdr>
                        <w:top w:val="single" w:sz="8" w:space="3" w:color="B5C4DF"/>
                        <w:left w:val="none" w:sz="0" w:space="0" w:color="auto"/>
                        <w:bottom w:val="none" w:sz="0" w:space="0" w:color="auto"/>
                        <w:right w:val="none" w:sz="0" w:space="0" w:color="auto"/>
                      </w:divBdr>
                    </w:div>
                  </w:divsChild>
                </w:div>
                <w:div w:id="1531802366">
                  <w:marLeft w:val="0"/>
                  <w:marRight w:val="0"/>
                  <w:marTop w:val="0"/>
                  <w:marBottom w:val="0"/>
                  <w:divBdr>
                    <w:top w:val="none" w:sz="0" w:space="0" w:color="auto"/>
                    <w:left w:val="none" w:sz="0" w:space="0" w:color="auto"/>
                    <w:bottom w:val="none" w:sz="0" w:space="0" w:color="auto"/>
                    <w:right w:val="none" w:sz="0" w:space="0" w:color="auto"/>
                  </w:divBdr>
                  <w:divsChild>
                    <w:div w:id="68769237">
                      <w:marLeft w:val="0"/>
                      <w:marRight w:val="0"/>
                      <w:marTop w:val="0"/>
                      <w:marBottom w:val="0"/>
                      <w:divBdr>
                        <w:top w:val="none" w:sz="0" w:space="0" w:color="auto"/>
                        <w:left w:val="none" w:sz="0" w:space="0" w:color="auto"/>
                        <w:bottom w:val="none" w:sz="0" w:space="0" w:color="auto"/>
                        <w:right w:val="none" w:sz="0" w:space="0" w:color="auto"/>
                      </w:divBdr>
                      <w:divsChild>
                        <w:div w:id="575013204">
                          <w:marLeft w:val="0"/>
                          <w:marRight w:val="0"/>
                          <w:marTop w:val="0"/>
                          <w:marBottom w:val="0"/>
                          <w:divBdr>
                            <w:top w:val="none" w:sz="0" w:space="0" w:color="auto"/>
                            <w:left w:val="none" w:sz="0" w:space="0" w:color="auto"/>
                            <w:bottom w:val="none" w:sz="0" w:space="0" w:color="auto"/>
                            <w:right w:val="none" w:sz="0" w:space="0" w:color="auto"/>
                          </w:divBdr>
                        </w:div>
                      </w:divsChild>
                    </w:div>
                    <w:div w:id="1126891942">
                      <w:marLeft w:val="0"/>
                      <w:marRight w:val="0"/>
                      <w:marTop w:val="0"/>
                      <w:marBottom w:val="0"/>
                      <w:divBdr>
                        <w:top w:val="none" w:sz="0" w:space="0" w:color="auto"/>
                        <w:left w:val="none" w:sz="0" w:space="0" w:color="auto"/>
                        <w:bottom w:val="none" w:sz="0" w:space="0" w:color="auto"/>
                        <w:right w:val="none" w:sz="0" w:space="0" w:color="auto"/>
                      </w:divBdr>
                    </w:div>
                    <w:div w:id="11630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350231">
      <w:bodyDiv w:val="1"/>
      <w:marLeft w:val="0"/>
      <w:marRight w:val="0"/>
      <w:marTop w:val="0"/>
      <w:marBottom w:val="0"/>
      <w:divBdr>
        <w:top w:val="none" w:sz="0" w:space="0" w:color="auto"/>
        <w:left w:val="none" w:sz="0" w:space="0" w:color="auto"/>
        <w:bottom w:val="none" w:sz="0" w:space="0" w:color="auto"/>
        <w:right w:val="none" w:sz="0" w:space="0" w:color="auto"/>
      </w:divBdr>
    </w:div>
    <w:div w:id="1701392878">
      <w:bodyDiv w:val="1"/>
      <w:marLeft w:val="0"/>
      <w:marRight w:val="0"/>
      <w:marTop w:val="0"/>
      <w:marBottom w:val="0"/>
      <w:divBdr>
        <w:top w:val="none" w:sz="0" w:space="0" w:color="auto"/>
        <w:left w:val="none" w:sz="0" w:space="0" w:color="auto"/>
        <w:bottom w:val="none" w:sz="0" w:space="0" w:color="auto"/>
        <w:right w:val="none" w:sz="0" w:space="0" w:color="auto"/>
      </w:divBdr>
    </w:div>
    <w:div w:id="1702170818">
      <w:bodyDiv w:val="1"/>
      <w:marLeft w:val="0"/>
      <w:marRight w:val="0"/>
      <w:marTop w:val="0"/>
      <w:marBottom w:val="0"/>
      <w:divBdr>
        <w:top w:val="none" w:sz="0" w:space="0" w:color="auto"/>
        <w:left w:val="none" w:sz="0" w:space="0" w:color="auto"/>
        <w:bottom w:val="none" w:sz="0" w:space="0" w:color="auto"/>
        <w:right w:val="none" w:sz="0" w:space="0" w:color="auto"/>
      </w:divBdr>
    </w:div>
    <w:div w:id="1707633534">
      <w:bodyDiv w:val="1"/>
      <w:marLeft w:val="0"/>
      <w:marRight w:val="0"/>
      <w:marTop w:val="0"/>
      <w:marBottom w:val="0"/>
      <w:divBdr>
        <w:top w:val="none" w:sz="0" w:space="0" w:color="auto"/>
        <w:left w:val="none" w:sz="0" w:space="0" w:color="auto"/>
        <w:bottom w:val="none" w:sz="0" w:space="0" w:color="auto"/>
        <w:right w:val="none" w:sz="0" w:space="0" w:color="auto"/>
      </w:divBdr>
    </w:div>
    <w:div w:id="1717511229">
      <w:bodyDiv w:val="1"/>
      <w:marLeft w:val="0"/>
      <w:marRight w:val="0"/>
      <w:marTop w:val="0"/>
      <w:marBottom w:val="0"/>
      <w:divBdr>
        <w:top w:val="none" w:sz="0" w:space="0" w:color="auto"/>
        <w:left w:val="none" w:sz="0" w:space="0" w:color="auto"/>
        <w:bottom w:val="none" w:sz="0" w:space="0" w:color="auto"/>
        <w:right w:val="none" w:sz="0" w:space="0" w:color="auto"/>
      </w:divBdr>
    </w:div>
    <w:div w:id="1718621644">
      <w:bodyDiv w:val="1"/>
      <w:marLeft w:val="0"/>
      <w:marRight w:val="0"/>
      <w:marTop w:val="0"/>
      <w:marBottom w:val="0"/>
      <w:divBdr>
        <w:top w:val="none" w:sz="0" w:space="0" w:color="auto"/>
        <w:left w:val="none" w:sz="0" w:space="0" w:color="auto"/>
        <w:bottom w:val="none" w:sz="0" w:space="0" w:color="auto"/>
        <w:right w:val="none" w:sz="0" w:space="0" w:color="auto"/>
      </w:divBdr>
    </w:div>
    <w:div w:id="1726250521">
      <w:bodyDiv w:val="1"/>
      <w:marLeft w:val="0"/>
      <w:marRight w:val="0"/>
      <w:marTop w:val="0"/>
      <w:marBottom w:val="0"/>
      <w:divBdr>
        <w:top w:val="none" w:sz="0" w:space="0" w:color="auto"/>
        <w:left w:val="none" w:sz="0" w:space="0" w:color="auto"/>
        <w:bottom w:val="none" w:sz="0" w:space="0" w:color="auto"/>
        <w:right w:val="none" w:sz="0" w:space="0" w:color="auto"/>
      </w:divBdr>
    </w:div>
    <w:div w:id="1756627880">
      <w:bodyDiv w:val="1"/>
      <w:marLeft w:val="0"/>
      <w:marRight w:val="0"/>
      <w:marTop w:val="0"/>
      <w:marBottom w:val="0"/>
      <w:divBdr>
        <w:top w:val="none" w:sz="0" w:space="0" w:color="auto"/>
        <w:left w:val="none" w:sz="0" w:space="0" w:color="auto"/>
        <w:bottom w:val="none" w:sz="0" w:space="0" w:color="auto"/>
        <w:right w:val="none" w:sz="0" w:space="0" w:color="auto"/>
      </w:divBdr>
      <w:divsChild>
        <w:div w:id="1380862784">
          <w:marLeft w:val="0"/>
          <w:marRight w:val="0"/>
          <w:marTop w:val="0"/>
          <w:marBottom w:val="0"/>
          <w:divBdr>
            <w:top w:val="none" w:sz="0" w:space="0" w:color="auto"/>
            <w:left w:val="none" w:sz="0" w:space="0" w:color="auto"/>
            <w:bottom w:val="none" w:sz="0" w:space="0" w:color="auto"/>
            <w:right w:val="none" w:sz="0" w:space="0" w:color="auto"/>
          </w:divBdr>
        </w:div>
        <w:div w:id="2050490464">
          <w:marLeft w:val="0"/>
          <w:marRight w:val="0"/>
          <w:marTop w:val="0"/>
          <w:marBottom w:val="0"/>
          <w:divBdr>
            <w:top w:val="none" w:sz="0" w:space="0" w:color="auto"/>
            <w:left w:val="none" w:sz="0" w:space="0" w:color="auto"/>
            <w:bottom w:val="none" w:sz="0" w:space="0" w:color="auto"/>
            <w:right w:val="none" w:sz="0" w:space="0" w:color="auto"/>
          </w:divBdr>
          <w:divsChild>
            <w:div w:id="1784569756">
              <w:marLeft w:val="0"/>
              <w:marRight w:val="0"/>
              <w:marTop w:val="0"/>
              <w:marBottom w:val="0"/>
              <w:divBdr>
                <w:top w:val="none" w:sz="0" w:space="0" w:color="auto"/>
                <w:left w:val="none" w:sz="0" w:space="0" w:color="auto"/>
                <w:bottom w:val="none" w:sz="0" w:space="0" w:color="auto"/>
                <w:right w:val="none" w:sz="0" w:space="0" w:color="auto"/>
              </w:divBdr>
              <w:divsChild>
                <w:div w:id="277642714">
                  <w:marLeft w:val="0"/>
                  <w:marRight w:val="0"/>
                  <w:marTop w:val="0"/>
                  <w:marBottom w:val="0"/>
                  <w:divBdr>
                    <w:top w:val="none" w:sz="0" w:space="0" w:color="auto"/>
                    <w:left w:val="none" w:sz="0" w:space="0" w:color="auto"/>
                    <w:bottom w:val="none" w:sz="0" w:space="0" w:color="auto"/>
                    <w:right w:val="none" w:sz="0" w:space="0" w:color="auto"/>
                  </w:divBdr>
                  <w:divsChild>
                    <w:div w:id="553587050">
                      <w:marLeft w:val="0"/>
                      <w:marRight w:val="0"/>
                      <w:marTop w:val="0"/>
                      <w:marBottom w:val="0"/>
                      <w:divBdr>
                        <w:top w:val="single" w:sz="8" w:space="3" w:color="B5C4DF"/>
                        <w:left w:val="none" w:sz="0" w:space="0" w:color="auto"/>
                        <w:bottom w:val="none" w:sz="0" w:space="0" w:color="auto"/>
                        <w:right w:val="none" w:sz="0" w:space="0" w:color="auto"/>
                      </w:divBdr>
                    </w:div>
                  </w:divsChild>
                </w:div>
                <w:div w:id="1130707988">
                  <w:marLeft w:val="0"/>
                  <w:marRight w:val="0"/>
                  <w:marTop w:val="0"/>
                  <w:marBottom w:val="0"/>
                  <w:divBdr>
                    <w:top w:val="none" w:sz="0" w:space="0" w:color="auto"/>
                    <w:left w:val="none" w:sz="0" w:space="0" w:color="auto"/>
                    <w:bottom w:val="none" w:sz="0" w:space="0" w:color="auto"/>
                    <w:right w:val="none" w:sz="0" w:space="0" w:color="auto"/>
                  </w:divBdr>
                  <w:divsChild>
                    <w:div w:id="27730869">
                      <w:marLeft w:val="0"/>
                      <w:marRight w:val="0"/>
                      <w:marTop w:val="0"/>
                      <w:marBottom w:val="0"/>
                      <w:divBdr>
                        <w:top w:val="none" w:sz="0" w:space="0" w:color="auto"/>
                        <w:left w:val="none" w:sz="0" w:space="0" w:color="auto"/>
                        <w:bottom w:val="none" w:sz="0" w:space="0" w:color="auto"/>
                        <w:right w:val="none" w:sz="0" w:space="0" w:color="auto"/>
                      </w:divBdr>
                    </w:div>
                    <w:div w:id="910309550">
                      <w:marLeft w:val="0"/>
                      <w:marRight w:val="0"/>
                      <w:marTop w:val="0"/>
                      <w:marBottom w:val="0"/>
                      <w:divBdr>
                        <w:top w:val="none" w:sz="0" w:space="0" w:color="auto"/>
                        <w:left w:val="none" w:sz="0" w:space="0" w:color="auto"/>
                        <w:bottom w:val="none" w:sz="0" w:space="0" w:color="auto"/>
                        <w:right w:val="none" w:sz="0" w:space="0" w:color="auto"/>
                      </w:divBdr>
                    </w:div>
                    <w:div w:id="915866102">
                      <w:marLeft w:val="0"/>
                      <w:marRight w:val="0"/>
                      <w:marTop w:val="0"/>
                      <w:marBottom w:val="0"/>
                      <w:divBdr>
                        <w:top w:val="none" w:sz="0" w:space="0" w:color="auto"/>
                        <w:left w:val="none" w:sz="0" w:space="0" w:color="auto"/>
                        <w:bottom w:val="none" w:sz="0" w:space="0" w:color="auto"/>
                        <w:right w:val="none" w:sz="0" w:space="0" w:color="auto"/>
                      </w:divBdr>
                    </w:div>
                    <w:div w:id="920329640">
                      <w:marLeft w:val="0"/>
                      <w:marRight w:val="0"/>
                      <w:marTop w:val="0"/>
                      <w:marBottom w:val="0"/>
                      <w:divBdr>
                        <w:top w:val="none" w:sz="0" w:space="0" w:color="auto"/>
                        <w:left w:val="none" w:sz="0" w:space="0" w:color="auto"/>
                        <w:bottom w:val="none" w:sz="0" w:space="0" w:color="auto"/>
                        <w:right w:val="none" w:sz="0" w:space="0" w:color="auto"/>
                      </w:divBdr>
                      <w:divsChild>
                        <w:div w:id="1746340482">
                          <w:marLeft w:val="0"/>
                          <w:marRight w:val="0"/>
                          <w:marTop w:val="0"/>
                          <w:marBottom w:val="0"/>
                          <w:divBdr>
                            <w:top w:val="none" w:sz="0" w:space="0" w:color="auto"/>
                            <w:left w:val="none" w:sz="0" w:space="0" w:color="auto"/>
                            <w:bottom w:val="none" w:sz="0" w:space="0" w:color="auto"/>
                            <w:right w:val="none" w:sz="0" w:space="0" w:color="auto"/>
                          </w:divBdr>
                          <w:divsChild>
                            <w:div w:id="312679165">
                              <w:marLeft w:val="0"/>
                              <w:marRight w:val="0"/>
                              <w:marTop w:val="0"/>
                              <w:marBottom w:val="0"/>
                              <w:divBdr>
                                <w:top w:val="none" w:sz="0" w:space="0" w:color="auto"/>
                                <w:left w:val="none" w:sz="0" w:space="0" w:color="auto"/>
                                <w:bottom w:val="none" w:sz="0" w:space="0" w:color="auto"/>
                                <w:right w:val="none" w:sz="0" w:space="0" w:color="auto"/>
                              </w:divBdr>
                              <w:divsChild>
                                <w:div w:id="17472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20320">
                      <w:marLeft w:val="0"/>
                      <w:marRight w:val="0"/>
                      <w:marTop w:val="0"/>
                      <w:marBottom w:val="0"/>
                      <w:divBdr>
                        <w:top w:val="none" w:sz="0" w:space="0" w:color="auto"/>
                        <w:left w:val="none" w:sz="0" w:space="0" w:color="auto"/>
                        <w:bottom w:val="none" w:sz="0" w:space="0" w:color="auto"/>
                        <w:right w:val="none" w:sz="0" w:space="0" w:color="auto"/>
                      </w:divBdr>
                    </w:div>
                    <w:div w:id="1182206856">
                      <w:marLeft w:val="0"/>
                      <w:marRight w:val="0"/>
                      <w:marTop w:val="0"/>
                      <w:marBottom w:val="0"/>
                      <w:divBdr>
                        <w:top w:val="none" w:sz="0" w:space="0" w:color="auto"/>
                        <w:left w:val="none" w:sz="0" w:space="0" w:color="auto"/>
                        <w:bottom w:val="none" w:sz="0" w:space="0" w:color="auto"/>
                        <w:right w:val="none" w:sz="0" w:space="0" w:color="auto"/>
                      </w:divBdr>
                    </w:div>
                    <w:div w:id="1422145875">
                      <w:marLeft w:val="0"/>
                      <w:marRight w:val="0"/>
                      <w:marTop w:val="0"/>
                      <w:marBottom w:val="0"/>
                      <w:divBdr>
                        <w:top w:val="none" w:sz="0" w:space="0" w:color="auto"/>
                        <w:left w:val="none" w:sz="0" w:space="0" w:color="auto"/>
                        <w:bottom w:val="none" w:sz="0" w:space="0" w:color="auto"/>
                        <w:right w:val="none" w:sz="0" w:space="0" w:color="auto"/>
                      </w:divBdr>
                    </w:div>
                    <w:div w:id="1682244339">
                      <w:marLeft w:val="0"/>
                      <w:marRight w:val="0"/>
                      <w:marTop w:val="0"/>
                      <w:marBottom w:val="0"/>
                      <w:divBdr>
                        <w:top w:val="none" w:sz="0" w:space="0" w:color="auto"/>
                        <w:left w:val="none" w:sz="0" w:space="0" w:color="auto"/>
                        <w:bottom w:val="none" w:sz="0" w:space="0" w:color="auto"/>
                        <w:right w:val="none" w:sz="0" w:space="0" w:color="auto"/>
                      </w:divBdr>
                    </w:div>
                    <w:div w:id="1789396154">
                      <w:marLeft w:val="0"/>
                      <w:marRight w:val="0"/>
                      <w:marTop w:val="0"/>
                      <w:marBottom w:val="0"/>
                      <w:divBdr>
                        <w:top w:val="none" w:sz="0" w:space="0" w:color="auto"/>
                        <w:left w:val="none" w:sz="0" w:space="0" w:color="auto"/>
                        <w:bottom w:val="none" w:sz="0" w:space="0" w:color="auto"/>
                        <w:right w:val="none" w:sz="0" w:space="0" w:color="auto"/>
                      </w:divBdr>
                    </w:div>
                  </w:divsChild>
                </w:div>
                <w:div w:id="19611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39225">
      <w:bodyDiv w:val="1"/>
      <w:marLeft w:val="0"/>
      <w:marRight w:val="0"/>
      <w:marTop w:val="0"/>
      <w:marBottom w:val="0"/>
      <w:divBdr>
        <w:top w:val="none" w:sz="0" w:space="0" w:color="auto"/>
        <w:left w:val="none" w:sz="0" w:space="0" w:color="auto"/>
        <w:bottom w:val="none" w:sz="0" w:space="0" w:color="auto"/>
        <w:right w:val="none" w:sz="0" w:space="0" w:color="auto"/>
      </w:divBdr>
    </w:div>
    <w:div w:id="1757630061">
      <w:bodyDiv w:val="1"/>
      <w:marLeft w:val="0"/>
      <w:marRight w:val="0"/>
      <w:marTop w:val="0"/>
      <w:marBottom w:val="0"/>
      <w:divBdr>
        <w:top w:val="none" w:sz="0" w:space="0" w:color="auto"/>
        <w:left w:val="none" w:sz="0" w:space="0" w:color="auto"/>
        <w:bottom w:val="none" w:sz="0" w:space="0" w:color="auto"/>
        <w:right w:val="none" w:sz="0" w:space="0" w:color="auto"/>
      </w:divBdr>
    </w:div>
    <w:div w:id="1767311759">
      <w:bodyDiv w:val="1"/>
      <w:marLeft w:val="0"/>
      <w:marRight w:val="0"/>
      <w:marTop w:val="0"/>
      <w:marBottom w:val="0"/>
      <w:divBdr>
        <w:top w:val="none" w:sz="0" w:space="0" w:color="auto"/>
        <w:left w:val="none" w:sz="0" w:space="0" w:color="auto"/>
        <w:bottom w:val="none" w:sz="0" w:space="0" w:color="auto"/>
        <w:right w:val="none" w:sz="0" w:space="0" w:color="auto"/>
      </w:divBdr>
    </w:div>
    <w:div w:id="1767800113">
      <w:bodyDiv w:val="1"/>
      <w:marLeft w:val="0"/>
      <w:marRight w:val="0"/>
      <w:marTop w:val="0"/>
      <w:marBottom w:val="0"/>
      <w:divBdr>
        <w:top w:val="none" w:sz="0" w:space="0" w:color="auto"/>
        <w:left w:val="none" w:sz="0" w:space="0" w:color="auto"/>
        <w:bottom w:val="none" w:sz="0" w:space="0" w:color="auto"/>
        <w:right w:val="none" w:sz="0" w:space="0" w:color="auto"/>
      </w:divBdr>
    </w:div>
    <w:div w:id="1770853941">
      <w:bodyDiv w:val="1"/>
      <w:marLeft w:val="0"/>
      <w:marRight w:val="0"/>
      <w:marTop w:val="0"/>
      <w:marBottom w:val="0"/>
      <w:divBdr>
        <w:top w:val="none" w:sz="0" w:space="0" w:color="auto"/>
        <w:left w:val="none" w:sz="0" w:space="0" w:color="auto"/>
        <w:bottom w:val="none" w:sz="0" w:space="0" w:color="auto"/>
        <w:right w:val="none" w:sz="0" w:space="0" w:color="auto"/>
      </w:divBdr>
    </w:div>
    <w:div w:id="1781684050">
      <w:bodyDiv w:val="1"/>
      <w:marLeft w:val="0"/>
      <w:marRight w:val="0"/>
      <w:marTop w:val="0"/>
      <w:marBottom w:val="0"/>
      <w:divBdr>
        <w:top w:val="none" w:sz="0" w:space="0" w:color="auto"/>
        <w:left w:val="none" w:sz="0" w:space="0" w:color="auto"/>
        <w:bottom w:val="none" w:sz="0" w:space="0" w:color="auto"/>
        <w:right w:val="none" w:sz="0" w:space="0" w:color="auto"/>
      </w:divBdr>
    </w:div>
    <w:div w:id="1796944621">
      <w:bodyDiv w:val="1"/>
      <w:marLeft w:val="0"/>
      <w:marRight w:val="0"/>
      <w:marTop w:val="0"/>
      <w:marBottom w:val="0"/>
      <w:divBdr>
        <w:top w:val="none" w:sz="0" w:space="0" w:color="auto"/>
        <w:left w:val="none" w:sz="0" w:space="0" w:color="auto"/>
        <w:bottom w:val="none" w:sz="0" w:space="0" w:color="auto"/>
        <w:right w:val="none" w:sz="0" w:space="0" w:color="auto"/>
      </w:divBdr>
    </w:div>
    <w:div w:id="1802310251">
      <w:bodyDiv w:val="1"/>
      <w:marLeft w:val="0"/>
      <w:marRight w:val="0"/>
      <w:marTop w:val="0"/>
      <w:marBottom w:val="0"/>
      <w:divBdr>
        <w:top w:val="none" w:sz="0" w:space="0" w:color="auto"/>
        <w:left w:val="none" w:sz="0" w:space="0" w:color="auto"/>
        <w:bottom w:val="none" w:sz="0" w:space="0" w:color="auto"/>
        <w:right w:val="none" w:sz="0" w:space="0" w:color="auto"/>
      </w:divBdr>
    </w:div>
    <w:div w:id="1810198404">
      <w:bodyDiv w:val="1"/>
      <w:marLeft w:val="0"/>
      <w:marRight w:val="0"/>
      <w:marTop w:val="0"/>
      <w:marBottom w:val="0"/>
      <w:divBdr>
        <w:top w:val="none" w:sz="0" w:space="0" w:color="auto"/>
        <w:left w:val="none" w:sz="0" w:space="0" w:color="auto"/>
        <w:bottom w:val="none" w:sz="0" w:space="0" w:color="auto"/>
        <w:right w:val="none" w:sz="0" w:space="0" w:color="auto"/>
      </w:divBdr>
    </w:div>
    <w:div w:id="1811745084">
      <w:bodyDiv w:val="1"/>
      <w:marLeft w:val="0"/>
      <w:marRight w:val="0"/>
      <w:marTop w:val="0"/>
      <w:marBottom w:val="0"/>
      <w:divBdr>
        <w:top w:val="none" w:sz="0" w:space="0" w:color="auto"/>
        <w:left w:val="none" w:sz="0" w:space="0" w:color="auto"/>
        <w:bottom w:val="none" w:sz="0" w:space="0" w:color="auto"/>
        <w:right w:val="none" w:sz="0" w:space="0" w:color="auto"/>
      </w:divBdr>
    </w:div>
    <w:div w:id="1819685927">
      <w:bodyDiv w:val="1"/>
      <w:marLeft w:val="0"/>
      <w:marRight w:val="0"/>
      <w:marTop w:val="0"/>
      <w:marBottom w:val="0"/>
      <w:divBdr>
        <w:top w:val="none" w:sz="0" w:space="0" w:color="auto"/>
        <w:left w:val="none" w:sz="0" w:space="0" w:color="auto"/>
        <w:bottom w:val="none" w:sz="0" w:space="0" w:color="auto"/>
        <w:right w:val="none" w:sz="0" w:space="0" w:color="auto"/>
      </w:divBdr>
    </w:div>
    <w:div w:id="1834639766">
      <w:bodyDiv w:val="1"/>
      <w:marLeft w:val="0"/>
      <w:marRight w:val="0"/>
      <w:marTop w:val="0"/>
      <w:marBottom w:val="0"/>
      <w:divBdr>
        <w:top w:val="none" w:sz="0" w:space="0" w:color="auto"/>
        <w:left w:val="none" w:sz="0" w:space="0" w:color="auto"/>
        <w:bottom w:val="none" w:sz="0" w:space="0" w:color="auto"/>
        <w:right w:val="none" w:sz="0" w:space="0" w:color="auto"/>
      </w:divBdr>
    </w:div>
    <w:div w:id="1835338039">
      <w:bodyDiv w:val="1"/>
      <w:marLeft w:val="0"/>
      <w:marRight w:val="0"/>
      <w:marTop w:val="0"/>
      <w:marBottom w:val="0"/>
      <w:divBdr>
        <w:top w:val="none" w:sz="0" w:space="0" w:color="auto"/>
        <w:left w:val="none" w:sz="0" w:space="0" w:color="auto"/>
        <w:bottom w:val="none" w:sz="0" w:space="0" w:color="auto"/>
        <w:right w:val="none" w:sz="0" w:space="0" w:color="auto"/>
      </w:divBdr>
    </w:div>
    <w:div w:id="1839688538">
      <w:bodyDiv w:val="1"/>
      <w:marLeft w:val="0"/>
      <w:marRight w:val="0"/>
      <w:marTop w:val="0"/>
      <w:marBottom w:val="0"/>
      <w:divBdr>
        <w:top w:val="none" w:sz="0" w:space="0" w:color="auto"/>
        <w:left w:val="none" w:sz="0" w:space="0" w:color="auto"/>
        <w:bottom w:val="none" w:sz="0" w:space="0" w:color="auto"/>
        <w:right w:val="none" w:sz="0" w:space="0" w:color="auto"/>
      </w:divBdr>
    </w:div>
    <w:div w:id="1858227125">
      <w:bodyDiv w:val="1"/>
      <w:marLeft w:val="0"/>
      <w:marRight w:val="0"/>
      <w:marTop w:val="0"/>
      <w:marBottom w:val="0"/>
      <w:divBdr>
        <w:top w:val="none" w:sz="0" w:space="0" w:color="auto"/>
        <w:left w:val="none" w:sz="0" w:space="0" w:color="auto"/>
        <w:bottom w:val="none" w:sz="0" w:space="0" w:color="auto"/>
        <w:right w:val="none" w:sz="0" w:space="0" w:color="auto"/>
      </w:divBdr>
    </w:div>
    <w:div w:id="1863205673">
      <w:bodyDiv w:val="1"/>
      <w:marLeft w:val="0"/>
      <w:marRight w:val="0"/>
      <w:marTop w:val="0"/>
      <w:marBottom w:val="0"/>
      <w:divBdr>
        <w:top w:val="none" w:sz="0" w:space="0" w:color="auto"/>
        <w:left w:val="none" w:sz="0" w:space="0" w:color="auto"/>
        <w:bottom w:val="none" w:sz="0" w:space="0" w:color="auto"/>
        <w:right w:val="none" w:sz="0" w:space="0" w:color="auto"/>
      </w:divBdr>
    </w:div>
    <w:div w:id="1879589287">
      <w:bodyDiv w:val="1"/>
      <w:marLeft w:val="0"/>
      <w:marRight w:val="0"/>
      <w:marTop w:val="0"/>
      <w:marBottom w:val="0"/>
      <w:divBdr>
        <w:top w:val="none" w:sz="0" w:space="0" w:color="auto"/>
        <w:left w:val="none" w:sz="0" w:space="0" w:color="auto"/>
        <w:bottom w:val="none" w:sz="0" w:space="0" w:color="auto"/>
        <w:right w:val="none" w:sz="0" w:space="0" w:color="auto"/>
      </w:divBdr>
    </w:div>
    <w:div w:id="1920433844">
      <w:bodyDiv w:val="1"/>
      <w:marLeft w:val="0"/>
      <w:marRight w:val="0"/>
      <w:marTop w:val="0"/>
      <w:marBottom w:val="0"/>
      <w:divBdr>
        <w:top w:val="none" w:sz="0" w:space="0" w:color="auto"/>
        <w:left w:val="none" w:sz="0" w:space="0" w:color="auto"/>
        <w:bottom w:val="none" w:sz="0" w:space="0" w:color="auto"/>
        <w:right w:val="none" w:sz="0" w:space="0" w:color="auto"/>
      </w:divBdr>
    </w:div>
    <w:div w:id="1922325978">
      <w:bodyDiv w:val="1"/>
      <w:marLeft w:val="0"/>
      <w:marRight w:val="0"/>
      <w:marTop w:val="0"/>
      <w:marBottom w:val="0"/>
      <w:divBdr>
        <w:top w:val="none" w:sz="0" w:space="0" w:color="auto"/>
        <w:left w:val="none" w:sz="0" w:space="0" w:color="auto"/>
        <w:bottom w:val="none" w:sz="0" w:space="0" w:color="auto"/>
        <w:right w:val="none" w:sz="0" w:space="0" w:color="auto"/>
      </w:divBdr>
    </w:div>
    <w:div w:id="1926957012">
      <w:bodyDiv w:val="1"/>
      <w:marLeft w:val="0"/>
      <w:marRight w:val="0"/>
      <w:marTop w:val="0"/>
      <w:marBottom w:val="0"/>
      <w:divBdr>
        <w:top w:val="none" w:sz="0" w:space="0" w:color="auto"/>
        <w:left w:val="none" w:sz="0" w:space="0" w:color="auto"/>
        <w:bottom w:val="none" w:sz="0" w:space="0" w:color="auto"/>
        <w:right w:val="none" w:sz="0" w:space="0" w:color="auto"/>
      </w:divBdr>
    </w:div>
    <w:div w:id="1927229087">
      <w:bodyDiv w:val="1"/>
      <w:marLeft w:val="0"/>
      <w:marRight w:val="0"/>
      <w:marTop w:val="0"/>
      <w:marBottom w:val="0"/>
      <w:divBdr>
        <w:top w:val="none" w:sz="0" w:space="0" w:color="auto"/>
        <w:left w:val="none" w:sz="0" w:space="0" w:color="auto"/>
        <w:bottom w:val="none" w:sz="0" w:space="0" w:color="auto"/>
        <w:right w:val="none" w:sz="0" w:space="0" w:color="auto"/>
      </w:divBdr>
    </w:div>
    <w:div w:id="1931620984">
      <w:bodyDiv w:val="1"/>
      <w:marLeft w:val="0"/>
      <w:marRight w:val="0"/>
      <w:marTop w:val="0"/>
      <w:marBottom w:val="0"/>
      <w:divBdr>
        <w:top w:val="none" w:sz="0" w:space="0" w:color="auto"/>
        <w:left w:val="none" w:sz="0" w:space="0" w:color="auto"/>
        <w:bottom w:val="none" w:sz="0" w:space="0" w:color="auto"/>
        <w:right w:val="none" w:sz="0" w:space="0" w:color="auto"/>
      </w:divBdr>
    </w:div>
    <w:div w:id="1935817282">
      <w:bodyDiv w:val="1"/>
      <w:marLeft w:val="0"/>
      <w:marRight w:val="0"/>
      <w:marTop w:val="0"/>
      <w:marBottom w:val="0"/>
      <w:divBdr>
        <w:top w:val="none" w:sz="0" w:space="0" w:color="auto"/>
        <w:left w:val="none" w:sz="0" w:space="0" w:color="auto"/>
        <w:bottom w:val="none" w:sz="0" w:space="0" w:color="auto"/>
        <w:right w:val="none" w:sz="0" w:space="0" w:color="auto"/>
      </w:divBdr>
    </w:div>
    <w:div w:id="1944805767">
      <w:bodyDiv w:val="1"/>
      <w:marLeft w:val="0"/>
      <w:marRight w:val="0"/>
      <w:marTop w:val="0"/>
      <w:marBottom w:val="0"/>
      <w:divBdr>
        <w:top w:val="none" w:sz="0" w:space="0" w:color="auto"/>
        <w:left w:val="none" w:sz="0" w:space="0" w:color="auto"/>
        <w:bottom w:val="none" w:sz="0" w:space="0" w:color="auto"/>
        <w:right w:val="none" w:sz="0" w:space="0" w:color="auto"/>
      </w:divBdr>
    </w:div>
    <w:div w:id="1953432804">
      <w:bodyDiv w:val="1"/>
      <w:marLeft w:val="0"/>
      <w:marRight w:val="0"/>
      <w:marTop w:val="0"/>
      <w:marBottom w:val="0"/>
      <w:divBdr>
        <w:top w:val="none" w:sz="0" w:space="0" w:color="auto"/>
        <w:left w:val="none" w:sz="0" w:space="0" w:color="auto"/>
        <w:bottom w:val="none" w:sz="0" w:space="0" w:color="auto"/>
        <w:right w:val="none" w:sz="0" w:space="0" w:color="auto"/>
      </w:divBdr>
    </w:div>
    <w:div w:id="1962766881">
      <w:bodyDiv w:val="1"/>
      <w:marLeft w:val="0"/>
      <w:marRight w:val="0"/>
      <w:marTop w:val="0"/>
      <w:marBottom w:val="0"/>
      <w:divBdr>
        <w:top w:val="none" w:sz="0" w:space="0" w:color="auto"/>
        <w:left w:val="none" w:sz="0" w:space="0" w:color="auto"/>
        <w:bottom w:val="none" w:sz="0" w:space="0" w:color="auto"/>
        <w:right w:val="none" w:sz="0" w:space="0" w:color="auto"/>
      </w:divBdr>
    </w:div>
    <w:div w:id="1994793408">
      <w:bodyDiv w:val="1"/>
      <w:marLeft w:val="0"/>
      <w:marRight w:val="0"/>
      <w:marTop w:val="0"/>
      <w:marBottom w:val="0"/>
      <w:divBdr>
        <w:top w:val="none" w:sz="0" w:space="0" w:color="auto"/>
        <w:left w:val="none" w:sz="0" w:space="0" w:color="auto"/>
        <w:bottom w:val="none" w:sz="0" w:space="0" w:color="auto"/>
        <w:right w:val="none" w:sz="0" w:space="0" w:color="auto"/>
      </w:divBdr>
    </w:div>
    <w:div w:id="1998922886">
      <w:bodyDiv w:val="1"/>
      <w:marLeft w:val="0"/>
      <w:marRight w:val="0"/>
      <w:marTop w:val="0"/>
      <w:marBottom w:val="0"/>
      <w:divBdr>
        <w:top w:val="none" w:sz="0" w:space="0" w:color="auto"/>
        <w:left w:val="none" w:sz="0" w:space="0" w:color="auto"/>
        <w:bottom w:val="none" w:sz="0" w:space="0" w:color="auto"/>
        <w:right w:val="none" w:sz="0" w:space="0" w:color="auto"/>
      </w:divBdr>
    </w:div>
    <w:div w:id="2008708940">
      <w:bodyDiv w:val="1"/>
      <w:marLeft w:val="0"/>
      <w:marRight w:val="0"/>
      <w:marTop w:val="0"/>
      <w:marBottom w:val="0"/>
      <w:divBdr>
        <w:top w:val="none" w:sz="0" w:space="0" w:color="auto"/>
        <w:left w:val="none" w:sz="0" w:space="0" w:color="auto"/>
        <w:bottom w:val="none" w:sz="0" w:space="0" w:color="auto"/>
        <w:right w:val="none" w:sz="0" w:space="0" w:color="auto"/>
      </w:divBdr>
    </w:div>
    <w:div w:id="2008970109">
      <w:bodyDiv w:val="1"/>
      <w:marLeft w:val="0"/>
      <w:marRight w:val="0"/>
      <w:marTop w:val="0"/>
      <w:marBottom w:val="0"/>
      <w:divBdr>
        <w:top w:val="none" w:sz="0" w:space="0" w:color="auto"/>
        <w:left w:val="none" w:sz="0" w:space="0" w:color="auto"/>
        <w:bottom w:val="none" w:sz="0" w:space="0" w:color="auto"/>
        <w:right w:val="none" w:sz="0" w:space="0" w:color="auto"/>
      </w:divBdr>
    </w:div>
    <w:div w:id="2022663978">
      <w:bodyDiv w:val="1"/>
      <w:marLeft w:val="0"/>
      <w:marRight w:val="0"/>
      <w:marTop w:val="0"/>
      <w:marBottom w:val="0"/>
      <w:divBdr>
        <w:top w:val="none" w:sz="0" w:space="0" w:color="auto"/>
        <w:left w:val="none" w:sz="0" w:space="0" w:color="auto"/>
        <w:bottom w:val="none" w:sz="0" w:space="0" w:color="auto"/>
        <w:right w:val="none" w:sz="0" w:space="0" w:color="auto"/>
      </w:divBdr>
    </w:div>
    <w:div w:id="2028408421">
      <w:bodyDiv w:val="1"/>
      <w:marLeft w:val="0"/>
      <w:marRight w:val="0"/>
      <w:marTop w:val="0"/>
      <w:marBottom w:val="0"/>
      <w:divBdr>
        <w:top w:val="none" w:sz="0" w:space="0" w:color="auto"/>
        <w:left w:val="none" w:sz="0" w:space="0" w:color="auto"/>
        <w:bottom w:val="none" w:sz="0" w:space="0" w:color="auto"/>
        <w:right w:val="none" w:sz="0" w:space="0" w:color="auto"/>
      </w:divBdr>
      <w:divsChild>
        <w:div w:id="651566585">
          <w:marLeft w:val="0"/>
          <w:marRight w:val="0"/>
          <w:marTop w:val="0"/>
          <w:marBottom w:val="0"/>
          <w:divBdr>
            <w:top w:val="none" w:sz="0" w:space="0" w:color="auto"/>
            <w:left w:val="none" w:sz="0" w:space="0" w:color="auto"/>
            <w:bottom w:val="none" w:sz="0" w:space="0" w:color="auto"/>
            <w:right w:val="none" w:sz="0" w:space="0" w:color="auto"/>
          </w:divBdr>
          <w:divsChild>
            <w:div w:id="1209730119">
              <w:marLeft w:val="0"/>
              <w:marRight w:val="0"/>
              <w:marTop w:val="0"/>
              <w:marBottom w:val="0"/>
              <w:divBdr>
                <w:top w:val="none" w:sz="0" w:space="0" w:color="auto"/>
                <w:left w:val="none" w:sz="0" w:space="0" w:color="auto"/>
                <w:bottom w:val="none" w:sz="0" w:space="0" w:color="auto"/>
                <w:right w:val="none" w:sz="0" w:space="0" w:color="auto"/>
              </w:divBdr>
              <w:divsChild>
                <w:div w:id="162087469">
                  <w:marLeft w:val="0"/>
                  <w:marRight w:val="0"/>
                  <w:marTop w:val="0"/>
                  <w:marBottom w:val="0"/>
                  <w:divBdr>
                    <w:top w:val="none" w:sz="0" w:space="0" w:color="auto"/>
                    <w:left w:val="none" w:sz="0" w:space="0" w:color="auto"/>
                    <w:bottom w:val="none" w:sz="0" w:space="0" w:color="auto"/>
                    <w:right w:val="none" w:sz="0" w:space="0" w:color="auto"/>
                  </w:divBdr>
                  <w:divsChild>
                    <w:div w:id="717246231">
                      <w:marLeft w:val="0"/>
                      <w:marRight w:val="0"/>
                      <w:marTop w:val="0"/>
                      <w:marBottom w:val="0"/>
                      <w:divBdr>
                        <w:top w:val="none" w:sz="0" w:space="0" w:color="auto"/>
                        <w:left w:val="none" w:sz="0" w:space="0" w:color="auto"/>
                        <w:bottom w:val="none" w:sz="0" w:space="0" w:color="auto"/>
                        <w:right w:val="none" w:sz="0" w:space="0" w:color="auto"/>
                      </w:divBdr>
                      <w:divsChild>
                        <w:div w:id="1927496179">
                          <w:marLeft w:val="0"/>
                          <w:marRight w:val="0"/>
                          <w:marTop w:val="0"/>
                          <w:marBottom w:val="0"/>
                          <w:divBdr>
                            <w:top w:val="none" w:sz="0" w:space="0" w:color="auto"/>
                            <w:left w:val="none" w:sz="0" w:space="0" w:color="auto"/>
                            <w:bottom w:val="none" w:sz="0" w:space="0" w:color="auto"/>
                            <w:right w:val="none" w:sz="0" w:space="0" w:color="auto"/>
                          </w:divBdr>
                        </w:div>
                      </w:divsChild>
                    </w:div>
                    <w:div w:id="1696929864">
                      <w:marLeft w:val="0"/>
                      <w:marRight w:val="0"/>
                      <w:marTop w:val="0"/>
                      <w:marBottom w:val="0"/>
                      <w:divBdr>
                        <w:top w:val="none" w:sz="0" w:space="0" w:color="auto"/>
                        <w:left w:val="none" w:sz="0" w:space="0" w:color="auto"/>
                        <w:bottom w:val="none" w:sz="0" w:space="0" w:color="auto"/>
                        <w:right w:val="none" w:sz="0" w:space="0" w:color="auto"/>
                      </w:divBdr>
                      <w:divsChild>
                        <w:div w:id="674844290">
                          <w:marLeft w:val="0"/>
                          <w:marRight w:val="0"/>
                          <w:marTop w:val="0"/>
                          <w:marBottom w:val="0"/>
                          <w:divBdr>
                            <w:top w:val="none" w:sz="0" w:space="0" w:color="auto"/>
                            <w:left w:val="none" w:sz="0" w:space="0" w:color="auto"/>
                            <w:bottom w:val="none" w:sz="0" w:space="0" w:color="auto"/>
                            <w:right w:val="none" w:sz="0" w:space="0" w:color="auto"/>
                          </w:divBdr>
                          <w:divsChild>
                            <w:div w:id="934169089">
                              <w:marLeft w:val="0"/>
                              <w:marRight w:val="0"/>
                              <w:marTop w:val="0"/>
                              <w:marBottom w:val="0"/>
                              <w:divBdr>
                                <w:top w:val="none" w:sz="0" w:space="0" w:color="auto"/>
                                <w:left w:val="none" w:sz="0" w:space="0" w:color="auto"/>
                                <w:bottom w:val="none" w:sz="0" w:space="0" w:color="auto"/>
                                <w:right w:val="none" w:sz="0" w:space="0" w:color="auto"/>
                              </w:divBdr>
                              <w:divsChild>
                                <w:div w:id="106117983">
                                  <w:marLeft w:val="0"/>
                                  <w:marRight w:val="0"/>
                                  <w:marTop w:val="0"/>
                                  <w:marBottom w:val="0"/>
                                  <w:divBdr>
                                    <w:top w:val="none" w:sz="0" w:space="0" w:color="auto"/>
                                    <w:left w:val="none" w:sz="0" w:space="0" w:color="auto"/>
                                    <w:bottom w:val="none" w:sz="0" w:space="0" w:color="auto"/>
                                    <w:right w:val="none" w:sz="0" w:space="0" w:color="auto"/>
                                  </w:divBdr>
                                  <w:divsChild>
                                    <w:div w:id="70978007">
                                      <w:marLeft w:val="0"/>
                                      <w:marRight w:val="0"/>
                                      <w:marTop w:val="0"/>
                                      <w:marBottom w:val="0"/>
                                      <w:divBdr>
                                        <w:top w:val="single" w:sz="8" w:space="3" w:color="B5C4DF"/>
                                        <w:left w:val="none" w:sz="0" w:space="0" w:color="auto"/>
                                        <w:bottom w:val="none" w:sz="0" w:space="0" w:color="auto"/>
                                        <w:right w:val="none" w:sz="0" w:space="0" w:color="auto"/>
                                      </w:divBdr>
                                    </w:div>
                                  </w:divsChild>
                                </w:div>
                                <w:div w:id="774440618">
                                  <w:marLeft w:val="0"/>
                                  <w:marRight w:val="0"/>
                                  <w:marTop w:val="0"/>
                                  <w:marBottom w:val="0"/>
                                  <w:divBdr>
                                    <w:top w:val="none" w:sz="0" w:space="0" w:color="auto"/>
                                    <w:left w:val="none" w:sz="0" w:space="0" w:color="auto"/>
                                    <w:bottom w:val="none" w:sz="0" w:space="0" w:color="auto"/>
                                    <w:right w:val="none" w:sz="0" w:space="0" w:color="auto"/>
                                  </w:divBdr>
                                  <w:divsChild>
                                    <w:div w:id="171267282">
                                      <w:marLeft w:val="0"/>
                                      <w:marRight w:val="0"/>
                                      <w:marTop w:val="0"/>
                                      <w:marBottom w:val="0"/>
                                      <w:divBdr>
                                        <w:top w:val="none" w:sz="0" w:space="0" w:color="auto"/>
                                        <w:left w:val="none" w:sz="0" w:space="0" w:color="auto"/>
                                        <w:bottom w:val="none" w:sz="0" w:space="0" w:color="auto"/>
                                        <w:right w:val="none" w:sz="0" w:space="0" w:color="auto"/>
                                      </w:divBdr>
                                    </w:div>
                                    <w:div w:id="539173418">
                                      <w:marLeft w:val="0"/>
                                      <w:marRight w:val="0"/>
                                      <w:marTop w:val="0"/>
                                      <w:marBottom w:val="0"/>
                                      <w:divBdr>
                                        <w:top w:val="none" w:sz="0" w:space="0" w:color="auto"/>
                                        <w:left w:val="none" w:sz="0" w:space="0" w:color="auto"/>
                                        <w:bottom w:val="none" w:sz="0" w:space="0" w:color="auto"/>
                                        <w:right w:val="none" w:sz="0" w:space="0" w:color="auto"/>
                                      </w:divBdr>
                                      <w:divsChild>
                                        <w:div w:id="181435998">
                                          <w:marLeft w:val="0"/>
                                          <w:marRight w:val="0"/>
                                          <w:marTop w:val="0"/>
                                          <w:marBottom w:val="0"/>
                                          <w:divBdr>
                                            <w:top w:val="none" w:sz="0" w:space="0" w:color="auto"/>
                                            <w:left w:val="none" w:sz="0" w:space="0" w:color="auto"/>
                                            <w:bottom w:val="none" w:sz="0" w:space="0" w:color="auto"/>
                                            <w:right w:val="none" w:sz="0" w:space="0" w:color="auto"/>
                                          </w:divBdr>
                                        </w:div>
                                        <w:div w:id="775905480">
                                          <w:marLeft w:val="0"/>
                                          <w:marRight w:val="0"/>
                                          <w:marTop w:val="0"/>
                                          <w:marBottom w:val="0"/>
                                          <w:divBdr>
                                            <w:top w:val="none" w:sz="0" w:space="0" w:color="auto"/>
                                            <w:left w:val="none" w:sz="0" w:space="0" w:color="auto"/>
                                            <w:bottom w:val="none" w:sz="0" w:space="0" w:color="auto"/>
                                            <w:right w:val="none" w:sz="0" w:space="0" w:color="auto"/>
                                          </w:divBdr>
                                        </w:div>
                                        <w:div w:id="1167090533">
                                          <w:marLeft w:val="0"/>
                                          <w:marRight w:val="0"/>
                                          <w:marTop w:val="0"/>
                                          <w:marBottom w:val="0"/>
                                          <w:divBdr>
                                            <w:top w:val="none" w:sz="0" w:space="0" w:color="auto"/>
                                            <w:left w:val="none" w:sz="0" w:space="0" w:color="auto"/>
                                            <w:bottom w:val="none" w:sz="0" w:space="0" w:color="auto"/>
                                            <w:right w:val="none" w:sz="0" w:space="0" w:color="auto"/>
                                          </w:divBdr>
                                        </w:div>
                                        <w:div w:id="1364745136">
                                          <w:marLeft w:val="0"/>
                                          <w:marRight w:val="0"/>
                                          <w:marTop w:val="0"/>
                                          <w:marBottom w:val="0"/>
                                          <w:divBdr>
                                            <w:top w:val="none" w:sz="0" w:space="0" w:color="auto"/>
                                            <w:left w:val="none" w:sz="0" w:space="0" w:color="auto"/>
                                            <w:bottom w:val="none" w:sz="0" w:space="0" w:color="auto"/>
                                            <w:right w:val="none" w:sz="0" w:space="0" w:color="auto"/>
                                          </w:divBdr>
                                          <w:divsChild>
                                            <w:div w:id="2137746778">
                                              <w:marLeft w:val="0"/>
                                              <w:marRight w:val="0"/>
                                              <w:marTop w:val="0"/>
                                              <w:marBottom w:val="0"/>
                                              <w:divBdr>
                                                <w:top w:val="none" w:sz="0" w:space="0" w:color="auto"/>
                                                <w:left w:val="none" w:sz="0" w:space="0" w:color="auto"/>
                                                <w:bottom w:val="none" w:sz="0" w:space="0" w:color="auto"/>
                                                <w:right w:val="none" w:sz="0" w:space="0" w:color="auto"/>
                                              </w:divBdr>
                                            </w:div>
                                          </w:divsChild>
                                        </w:div>
                                        <w:div w:id="2060472943">
                                          <w:marLeft w:val="0"/>
                                          <w:marRight w:val="0"/>
                                          <w:marTop w:val="0"/>
                                          <w:marBottom w:val="0"/>
                                          <w:divBdr>
                                            <w:top w:val="none" w:sz="0" w:space="0" w:color="auto"/>
                                            <w:left w:val="none" w:sz="0" w:space="0" w:color="auto"/>
                                            <w:bottom w:val="none" w:sz="0" w:space="0" w:color="auto"/>
                                            <w:right w:val="none" w:sz="0" w:space="0" w:color="auto"/>
                                          </w:divBdr>
                                        </w:div>
                                        <w:div w:id="2088457681">
                                          <w:marLeft w:val="0"/>
                                          <w:marRight w:val="0"/>
                                          <w:marTop w:val="0"/>
                                          <w:marBottom w:val="0"/>
                                          <w:divBdr>
                                            <w:top w:val="none" w:sz="0" w:space="0" w:color="auto"/>
                                            <w:left w:val="none" w:sz="0" w:space="0" w:color="auto"/>
                                            <w:bottom w:val="none" w:sz="0" w:space="0" w:color="auto"/>
                                            <w:right w:val="none" w:sz="0" w:space="0" w:color="auto"/>
                                          </w:divBdr>
                                        </w:div>
                                      </w:divsChild>
                                    </w:div>
                                    <w:div w:id="14630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73815">
                  <w:marLeft w:val="0"/>
                  <w:marRight w:val="0"/>
                  <w:marTop w:val="0"/>
                  <w:marBottom w:val="0"/>
                  <w:divBdr>
                    <w:top w:val="none" w:sz="0" w:space="0" w:color="auto"/>
                    <w:left w:val="none" w:sz="0" w:space="0" w:color="auto"/>
                    <w:bottom w:val="none" w:sz="0" w:space="0" w:color="auto"/>
                    <w:right w:val="none" w:sz="0" w:space="0" w:color="auto"/>
                  </w:divBdr>
                  <w:divsChild>
                    <w:div w:id="250742574">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 w:id="1071348928">
          <w:marLeft w:val="0"/>
          <w:marRight w:val="0"/>
          <w:marTop w:val="0"/>
          <w:marBottom w:val="0"/>
          <w:divBdr>
            <w:top w:val="none" w:sz="0" w:space="0" w:color="auto"/>
            <w:left w:val="none" w:sz="0" w:space="0" w:color="auto"/>
            <w:bottom w:val="none" w:sz="0" w:space="0" w:color="auto"/>
            <w:right w:val="none" w:sz="0" w:space="0" w:color="auto"/>
          </w:divBdr>
        </w:div>
      </w:divsChild>
    </w:div>
    <w:div w:id="2044405017">
      <w:bodyDiv w:val="1"/>
      <w:marLeft w:val="0"/>
      <w:marRight w:val="0"/>
      <w:marTop w:val="0"/>
      <w:marBottom w:val="0"/>
      <w:divBdr>
        <w:top w:val="none" w:sz="0" w:space="0" w:color="auto"/>
        <w:left w:val="none" w:sz="0" w:space="0" w:color="auto"/>
        <w:bottom w:val="none" w:sz="0" w:space="0" w:color="auto"/>
        <w:right w:val="none" w:sz="0" w:space="0" w:color="auto"/>
      </w:divBdr>
    </w:div>
    <w:div w:id="2045015617">
      <w:bodyDiv w:val="1"/>
      <w:marLeft w:val="0"/>
      <w:marRight w:val="0"/>
      <w:marTop w:val="0"/>
      <w:marBottom w:val="0"/>
      <w:divBdr>
        <w:top w:val="none" w:sz="0" w:space="0" w:color="auto"/>
        <w:left w:val="none" w:sz="0" w:space="0" w:color="auto"/>
        <w:bottom w:val="none" w:sz="0" w:space="0" w:color="auto"/>
        <w:right w:val="none" w:sz="0" w:space="0" w:color="auto"/>
      </w:divBdr>
    </w:div>
    <w:div w:id="2049798281">
      <w:bodyDiv w:val="1"/>
      <w:marLeft w:val="0"/>
      <w:marRight w:val="0"/>
      <w:marTop w:val="0"/>
      <w:marBottom w:val="0"/>
      <w:divBdr>
        <w:top w:val="none" w:sz="0" w:space="0" w:color="auto"/>
        <w:left w:val="none" w:sz="0" w:space="0" w:color="auto"/>
        <w:bottom w:val="none" w:sz="0" w:space="0" w:color="auto"/>
        <w:right w:val="none" w:sz="0" w:space="0" w:color="auto"/>
      </w:divBdr>
    </w:div>
    <w:div w:id="2054453030">
      <w:bodyDiv w:val="1"/>
      <w:marLeft w:val="0"/>
      <w:marRight w:val="0"/>
      <w:marTop w:val="0"/>
      <w:marBottom w:val="0"/>
      <w:divBdr>
        <w:top w:val="none" w:sz="0" w:space="0" w:color="auto"/>
        <w:left w:val="none" w:sz="0" w:space="0" w:color="auto"/>
        <w:bottom w:val="none" w:sz="0" w:space="0" w:color="auto"/>
        <w:right w:val="none" w:sz="0" w:space="0" w:color="auto"/>
      </w:divBdr>
    </w:div>
    <w:div w:id="2057194469">
      <w:bodyDiv w:val="1"/>
      <w:marLeft w:val="0"/>
      <w:marRight w:val="0"/>
      <w:marTop w:val="0"/>
      <w:marBottom w:val="0"/>
      <w:divBdr>
        <w:top w:val="none" w:sz="0" w:space="0" w:color="auto"/>
        <w:left w:val="none" w:sz="0" w:space="0" w:color="auto"/>
        <w:bottom w:val="none" w:sz="0" w:space="0" w:color="auto"/>
        <w:right w:val="none" w:sz="0" w:space="0" w:color="auto"/>
      </w:divBdr>
    </w:div>
    <w:div w:id="2059476270">
      <w:bodyDiv w:val="1"/>
      <w:marLeft w:val="0"/>
      <w:marRight w:val="0"/>
      <w:marTop w:val="0"/>
      <w:marBottom w:val="0"/>
      <w:divBdr>
        <w:top w:val="none" w:sz="0" w:space="0" w:color="auto"/>
        <w:left w:val="none" w:sz="0" w:space="0" w:color="auto"/>
        <w:bottom w:val="none" w:sz="0" w:space="0" w:color="auto"/>
        <w:right w:val="none" w:sz="0" w:space="0" w:color="auto"/>
      </w:divBdr>
    </w:div>
    <w:div w:id="2061050398">
      <w:bodyDiv w:val="1"/>
      <w:marLeft w:val="0"/>
      <w:marRight w:val="0"/>
      <w:marTop w:val="0"/>
      <w:marBottom w:val="0"/>
      <w:divBdr>
        <w:top w:val="none" w:sz="0" w:space="0" w:color="auto"/>
        <w:left w:val="none" w:sz="0" w:space="0" w:color="auto"/>
        <w:bottom w:val="none" w:sz="0" w:space="0" w:color="auto"/>
        <w:right w:val="none" w:sz="0" w:space="0" w:color="auto"/>
      </w:divBdr>
    </w:div>
    <w:div w:id="2068335992">
      <w:bodyDiv w:val="1"/>
      <w:marLeft w:val="0"/>
      <w:marRight w:val="0"/>
      <w:marTop w:val="0"/>
      <w:marBottom w:val="0"/>
      <w:divBdr>
        <w:top w:val="none" w:sz="0" w:space="0" w:color="auto"/>
        <w:left w:val="none" w:sz="0" w:space="0" w:color="auto"/>
        <w:bottom w:val="none" w:sz="0" w:space="0" w:color="auto"/>
        <w:right w:val="none" w:sz="0" w:space="0" w:color="auto"/>
      </w:divBdr>
    </w:div>
    <w:div w:id="2078046614">
      <w:bodyDiv w:val="1"/>
      <w:marLeft w:val="0"/>
      <w:marRight w:val="0"/>
      <w:marTop w:val="0"/>
      <w:marBottom w:val="0"/>
      <w:divBdr>
        <w:top w:val="none" w:sz="0" w:space="0" w:color="auto"/>
        <w:left w:val="none" w:sz="0" w:space="0" w:color="auto"/>
        <w:bottom w:val="none" w:sz="0" w:space="0" w:color="auto"/>
        <w:right w:val="none" w:sz="0" w:space="0" w:color="auto"/>
      </w:divBdr>
    </w:div>
    <w:div w:id="2078090577">
      <w:bodyDiv w:val="1"/>
      <w:marLeft w:val="0"/>
      <w:marRight w:val="0"/>
      <w:marTop w:val="0"/>
      <w:marBottom w:val="0"/>
      <w:divBdr>
        <w:top w:val="none" w:sz="0" w:space="0" w:color="auto"/>
        <w:left w:val="none" w:sz="0" w:space="0" w:color="auto"/>
        <w:bottom w:val="none" w:sz="0" w:space="0" w:color="auto"/>
        <w:right w:val="none" w:sz="0" w:space="0" w:color="auto"/>
      </w:divBdr>
    </w:div>
    <w:div w:id="2086562679">
      <w:bodyDiv w:val="1"/>
      <w:marLeft w:val="0"/>
      <w:marRight w:val="0"/>
      <w:marTop w:val="0"/>
      <w:marBottom w:val="0"/>
      <w:divBdr>
        <w:top w:val="none" w:sz="0" w:space="0" w:color="auto"/>
        <w:left w:val="none" w:sz="0" w:space="0" w:color="auto"/>
        <w:bottom w:val="none" w:sz="0" w:space="0" w:color="auto"/>
        <w:right w:val="none" w:sz="0" w:space="0" w:color="auto"/>
      </w:divBdr>
    </w:div>
    <w:div w:id="2089031929">
      <w:bodyDiv w:val="1"/>
      <w:marLeft w:val="0"/>
      <w:marRight w:val="0"/>
      <w:marTop w:val="0"/>
      <w:marBottom w:val="0"/>
      <w:divBdr>
        <w:top w:val="none" w:sz="0" w:space="0" w:color="auto"/>
        <w:left w:val="none" w:sz="0" w:space="0" w:color="auto"/>
        <w:bottom w:val="none" w:sz="0" w:space="0" w:color="auto"/>
        <w:right w:val="none" w:sz="0" w:space="0" w:color="auto"/>
      </w:divBdr>
    </w:div>
    <w:div w:id="2096584082">
      <w:bodyDiv w:val="1"/>
      <w:marLeft w:val="0"/>
      <w:marRight w:val="0"/>
      <w:marTop w:val="0"/>
      <w:marBottom w:val="0"/>
      <w:divBdr>
        <w:top w:val="none" w:sz="0" w:space="0" w:color="auto"/>
        <w:left w:val="none" w:sz="0" w:space="0" w:color="auto"/>
        <w:bottom w:val="none" w:sz="0" w:space="0" w:color="auto"/>
        <w:right w:val="none" w:sz="0" w:space="0" w:color="auto"/>
      </w:divBdr>
    </w:div>
    <w:div w:id="2097627842">
      <w:bodyDiv w:val="1"/>
      <w:marLeft w:val="0"/>
      <w:marRight w:val="0"/>
      <w:marTop w:val="0"/>
      <w:marBottom w:val="0"/>
      <w:divBdr>
        <w:top w:val="none" w:sz="0" w:space="0" w:color="auto"/>
        <w:left w:val="none" w:sz="0" w:space="0" w:color="auto"/>
        <w:bottom w:val="none" w:sz="0" w:space="0" w:color="auto"/>
        <w:right w:val="none" w:sz="0" w:space="0" w:color="auto"/>
      </w:divBdr>
    </w:div>
    <w:div w:id="2099904813">
      <w:bodyDiv w:val="1"/>
      <w:marLeft w:val="0"/>
      <w:marRight w:val="0"/>
      <w:marTop w:val="0"/>
      <w:marBottom w:val="0"/>
      <w:divBdr>
        <w:top w:val="none" w:sz="0" w:space="0" w:color="auto"/>
        <w:left w:val="none" w:sz="0" w:space="0" w:color="auto"/>
        <w:bottom w:val="none" w:sz="0" w:space="0" w:color="auto"/>
        <w:right w:val="none" w:sz="0" w:space="0" w:color="auto"/>
      </w:divBdr>
    </w:div>
    <w:div w:id="2101220421">
      <w:bodyDiv w:val="1"/>
      <w:marLeft w:val="0"/>
      <w:marRight w:val="0"/>
      <w:marTop w:val="0"/>
      <w:marBottom w:val="0"/>
      <w:divBdr>
        <w:top w:val="none" w:sz="0" w:space="0" w:color="auto"/>
        <w:left w:val="none" w:sz="0" w:space="0" w:color="auto"/>
        <w:bottom w:val="none" w:sz="0" w:space="0" w:color="auto"/>
        <w:right w:val="none" w:sz="0" w:space="0" w:color="auto"/>
      </w:divBdr>
    </w:div>
    <w:div w:id="2118017338">
      <w:bodyDiv w:val="1"/>
      <w:marLeft w:val="0"/>
      <w:marRight w:val="0"/>
      <w:marTop w:val="0"/>
      <w:marBottom w:val="0"/>
      <w:divBdr>
        <w:top w:val="none" w:sz="0" w:space="0" w:color="auto"/>
        <w:left w:val="none" w:sz="0" w:space="0" w:color="auto"/>
        <w:bottom w:val="none" w:sz="0" w:space="0" w:color="auto"/>
        <w:right w:val="none" w:sz="0" w:space="0" w:color="auto"/>
      </w:divBdr>
    </w:div>
    <w:div w:id="2126843510">
      <w:bodyDiv w:val="1"/>
      <w:marLeft w:val="0"/>
      <w:marRight w:val="0"/>
      <w:marTop w:val="0"/>
      <w:marBottom w:val="0"/>
      <w:divBdr>
        <w:top w:val="none" w:sz="0" w:space="0" w:color="auto"/>
        <w:left w:val="none" w:sz="0" w:space="0" w:color="auto"/>
        <w:bottom w:val="none" w:sz="0" w:space="0" w:color="auto"/>
        <w:right w:val="none" w:sz="0" w:space="0" w:color="auto"/>
      </w:divBdr>
    </w:div>
    <w:div w:id="2127045896">
      <w:bodyDiv w:val="1"/>
      <w:marLeft w:val="0"/>
      <w:marRight w:val="0"/>
      <w:marTop w:val="0"/>
      <w:marBottom w:val="0"/>
      <w:divBdr>
        <w:top w:val="none" w:sz="0" w:space="0" w:color="auto"/>
        <w:left w:val="none" w:sz="0" w:space="0" w:color="auto"/>
        <w:bottom w:val="none" w:sz="0" w:space="0" w:color="auto"/>
        <w:right w:val="none" w:sz="0" w:space="0" w:color="auto"/>
      </w:divBdr>
    </w:div>
    <w:div w:id="2127851521">
      <w:bodyDiv w:val="1"/>
      <w:marLeft w:val="0"/>
      <w:marRight w:val="0"/>
      <w:marTop w:val="0"/>
      <w:marBottom w:val="0"/>
      <w:divBdr>
        <w:top w:val="none" w:sz="0" w:space="0" w:color="auto"/>
        <w:left w:val="none" w:sz="0" w:space="0" w:color="auto"/>
        <w:bottom w:val="none" w:sz="0" w:space="0" w:color="auto"/>
        <w:right w:val="none" w:sz="0" w:space="0" w:color="auto"/>
      </w:divBdr>
    </w:div>
    <w:div w:id="2132625152">
      <w:bodyDiv w:val="1"/>
      <w:marLeft w:val="0"/>
      <w:marRight w:val="0"/>
      <w:marTop w:val="0"/>
      <w:marBottom w:val="0"/>
      <w:divBdr>
        <w:top w:val="none" w:sz="0" w:space="0" w:color="auto"/>
        <w:left w:val="none" w:sz="0" w:space="0" w:color="auto"/>
        <w:bottom w:val="none" w:sz="0" w:space="0" w:color="auto"/>
        <w:right w:val="none" w:sz="0" w:space="0" w:color="auto"/>
      </w:divBdr>
    </w:div>
    <w:div w:id="2134639642">
      <w:bodyDiv w:val="1"/>
      <w:marLeft w:val="0"/>
      <w:marRight w:val="0"/>
      <w:marTop w:val="0"/>
      <w:marBottom w:val="0"/>
      <w:divBdr>
        <w:top w:val="none" w:sz="0" w:space="0" w:color="auto"/>
        <w:left w:val="none" w:sz="0" w:space="0" w:color="auto"/>
        <w:bottom w:val="none" w:sz="0" w:space="0" w:color="auto"/>
        <w:right w:val="none" w:sz="0" w:space="0" w:color="auto"/>
      </w:divBdr>
    </w:div>
    <w:div w:id="2139176797">
      <w:bodyDiv w:val="1"/>
      <w:marLeft w:val="0"/>
      <w:marRight w:val="0"/>
      <w:marTop w:val="0"/>
      <w:marBottom w:val="0"/>
      <w:divBdr>
        <w:top w:val="none" w:sz="0" w:space="0" w:color="auto"/>
        <w:left w:val="none" w:sz="0" w:space="0" w:color="auto"/>
        <w:bottom w:val="none" w:sz="0" w:space="0" w:color="auto"/>
        <w:right w:val="none" w:sz="0" w:space="0" w:color="auto"/>
      </w:divBdr>
    </w:div>
    <w:div w:id="2139444861">
      <w:bodyDiv w:val="1"/>
      <w:marLeft w:val="0"/>
      <w:marRight w:val="0"/>
      <w:marTop w:val="0"/>
      <w:marBottom w:val="0"/>
      <w:divBdr>
        <w:top w:val="none" w:sz="0" w:space="0" w:color="auto"/>
        <w:left w:val="none" w:sz="0" w:space="0" w:color="auto"/>
        <w:bottom w:val="none" w:sz="0" w:space="0" w:color="auto"/>
        <w:right w:val="none" w:sz="0" w:space="0" w:color="auto"/>
      </w:divBdr>
    </w:div>
    <w:div w:id="2139490565">
      <w:bodyDiv w:val="1"/>
      <w:marLeft w:val="0"/>
      <w:marRight w:val="0"/>
      <w:marTop w:val="0"/>
      <w:marBottom w:val="0"/>
      <w:divBdr>
        <w:top w:val="none" w:sz="0" w:space="0" w:color="auto"/>
        <w:left w:val="none" w:sz="0" w:space="0" w:color="auto"/>
        <w:bottom w:val="none" w:sz="0" w:space="0" w:color="auto"/>
        <w:right w:val="none" w:sz="0" w:space="0" w:color="auto"/>
      </w:divBdr>
    </w:div>
    <w:div w:id="214322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3.emf"/><Relationship Id="rId42" Type="http://schemas.openxmlformats.org/officeDocument/2006/relationships/image" Target="media/image32.emf"/><Relationship Id="rId47" Type="http://schemas.openxmlformats.org/officeDocument/2006/relationships/image" Target="media/image37.w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wmf"/><Relationship Id="rId89" Type="http://schemas.openxmlformats.org/officeDocument/2006/relationships/image" Target="media/image79.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9.w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w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w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11.emf"/><Relationship Id="rId14" Type="http://schemas.openxmlformats.org/officeDocument/2006/relationships/image" Target="media/image6.wmf"/><Relationship Id="rId22" Type="http://schemas.openxmlformats.org/officeDocument/2006/relationships/header" Target="header2.xml"/><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8" Type="http://schemas.openxmlformats.org/officeDocument/2006/relationships/image" Target="media/image1.jpeg"/><Relationship Id="rId51" Type="http://schemas.openxmlformats.org/officeDocument/2006/relationships/image" Target="media/image41.w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w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wmf"/><Relationship Id="rId59" Type="http://schemas.openxmlformats.org/officeDocument/2006/relationships/image" Target="media/image49.emf"/><Relationship Id="rId67" Type="http://schemas.openxmlformats.org/officeDocument/2006/relationships/image" Target="media/image57.emf"/><Relationship Id="rId124" Type="http://schemas.microsoft.com/office/2007/relationships/stylesWithEffects" Target="stylesWithEffects.xml"/><Relationship Id="rId20" Type="http://schemas.openxmlformats.org/officeDocument/2006/relationships/image" Target="media/image12.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2.xml"/><Relationship Id="rId28" Type="http://schemas.openxmlformats.org/officeDocument/2006/relationships/image" Target="media/image18.w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header" Target="header1.xml"/><Relationship Id="rId31" Type="http://schemas.openxmlformats.org/officeDocument/2006/relationships/image" Target="media/image21.w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10.w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D89DE-9D60-4BB8-8424-EFCB103A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143</Pages>
  <Words>16933</Words>
  <Characters>96522</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Public Consulting Group, Inc.</Company>
  <LinksUpToDate>false</LinksUpToDate>
  <CharactersWithSpaces>113229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msweeney</dc:creator>
  <cp:lastModifiedBy>its</cp:lastModifiedBy>
  <cp:revision>2</cp:revision>
  <cp:lastPrinted>2013-05-20T20:10:00Z</cp:lastPrinted>
  <dcterms:created xsi:type="dcterms:W3CDTF">2013-05-22T01:11:00Z</dcterms:created>
  <dcterms:modified xsi:type="dcterms:W3CDTF">2013-05-22T01:11:00Z</dcterms:modified>
</cp:coreProperties>
</file>